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 о результатах самообследования</w:t>
      </w:r>
    </w:p>
    <w:p>
      <w:pPr>
        <w:pStyle w:val="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дошкольного образовательного учреждения</w:t>
      </w:r>
    </w:p>
    <w:p>
      <w:pPr>
        <w:pStyle w:val="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«Тимяшевский детский сад - Ласточка»  муниципального образования «Лениногорский муниципальный район» Республики Татарстан за 2023 год</w:t>
      </w:r>
    </w:p>
    <w:p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Самообследование проводилось в соответствии с требованиями приказов Министерства образования и науки Российской Федерации от 14 июня 2013 года № 462 «Об утверждении Порядка проведения самообследования образовательной организацией» и от 10 декабря 2013 года № 1324 «Об утверждении показателей деятельности образовательной организации, подлежащей самообследованию».</w:t>
      </w:r>
    </w:p>
    <w:p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Процедура самообследования проводилась по следующим этапам:</w:t>
      </w:r>
    </w:p>
    <w:p>
      <w:pPr>
        <w:pStyle w:val="27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Планирование и подготовка работ по самообследованию учреждения (приказ о проведении самоанализа, состав рабочей группы;</w:t>
      </w:r>
    </w:p>
    <w:p>
      <w:pPr>
        <w:pStyle w:val="27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проведение самообследования в учреждении;</w:t>
      </w:r>
    </w:p>
    <w:p>
      <w:pPr>
        <w:pStyle w:val="27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полученных результатов и на их основе формирование отчета;</w:t>
      </w:r>
    </w:p>
    <w:p>
      <w:pPr>
        <w:pStyle w:val="27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Размещение отчета на официальном сайте МБДОУ «Тимяшевский детский сад – Ласточка»  в сети «Интернет» и направление его Учредителю.</w:t>
      </w:r>
    </w:p>
    <w:p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самообследования проводилась оценка образовательной деятельности, системы управления организации,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организации.</w:t>
      </w:r>
    </w:p>
    <w:p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>По результатам самообследования подготовлен настоящий отчет, включающий аналитическую часть и результаты анализа показателей деятельности учреждения.</w:t>
      </w:r>
    </w:p>
    <w:p>
      <w:pPr>
        <w:pStyle w:val="25"/>
        <w:jc w:val="center"/>
        <w:rPr>
          <w:sz w:val="24"/>
          <w:szCs w:val="24"/>
        </w:rPr>
      </w:pPr>
    </w:p>
    <w:p>
      <w:pPr>
        <w:pStyle w:val="25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.Аналитическая часть</w:t>
      </w:r>
    </w:p>
    <w:p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Образовательная деятельность дошкольной организации</w:t>
      </w:r>
    </w:p>
    <w:p>
      <w:pPr>
        <w:widowControl w:val="0"/>
        <w:suppressAutoHyphens/>
        <w:autoSpaceDE w:val="0"/>
        <w:spacing w:after="0" w:line="240" w:lineRule="auto"/>
        <w:ind w:left="-7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>
      <w:pPr>
        <w:widowControl w:val="0"/>
        <w:suppressAutoHyphens/>
        <w:autoSpaceDE w:val="0"/>
        <w:spacing w:after="0" w:line="240" w:lineRule="auto"/>
        <w:ind w:left="1064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1.1.Общая характеристика</w:t>
      </w:r>
    </w:p>
    <w:p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>
      <w:pPr>
        <w:pStyle w:val="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Муниципальное бюджетное дошкольное образовательное учреждение «Тимяшевский детский сад - Ласточка»  расположен по адресу: РТ,  Лениногорский район, с. Тимяшево, ул. Кирова, д. 1А.</w:t>
      </w:r>
    </w:p>
    <w:p>
      <w:pPr>
        <w:pStyle w:val="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МБДОУ «Тимяшевский детский сад – Ласточка» расположен в двухэтажном  типовом здании на 120 мест, функционирует с 2015 года.  В  ДОУ функционируют 5 групп, общая численность 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детей – </w:t>
      </w:r>
      <w:r>
        <w:rPr>
          <w:sz w:val="24"/>
          <w:szCs w:val="24"/>
          <w:lang w:val="tt-RU"/>
        </w:rPr>
        <w:t>85</w:t>
      </w:r>
      <w:r>
        <w:rPr>
          <w:sz w:val="24"/>
          <w:szCs w:val="24"/>
        </w:rPr>
        <w:t>,  из них: в первой младшей – 2</w:t>
      </w:r>
      <w:r>
        <w:rPr>
          <w:sz w:val="24"/>
          <w:szCs w:val="24"/>
          <w:lang w:val="tt-RU"/>
        </w:rPr>
        <w:t>0</w:t>
      </w:r>
      <w:r>
        <w:rPr>
          <w:sz w:val="24"/>
          <w:szCs w:val="24"/>
        </w:rPr>
        <w:t xml:space="preserve">, во второй младшей – </w:t>
      </w:r>
      <w:r>
        <w:rPr>
          <w:sz w:val="24"/>
          <w:szCs w:val="24"/>
          <w:lang w:val="tt-RU"/>
        </w:rPr>
        <w:t>19</w:t>
      </w:r>
      <w:r>
        <w:rPr>
          <w:sz w:val="24"/>
          <w:szCs w:val="24"/>
        </w:rPr>
        <w:t>,  в средней – 1</w:t>
      </w:r>
      <w:r>
        <w:rPr>
          <w:sz w:val="24"/>
          <w:szCs w:val="24"/>
          <w:lang w:val="tt-RU"/>
        </w:rPr>
        <w:t>7</w:t>
      </w:r>
      <w:r>
        <w:rPr>
          <w:sz w:val="24"/>
          <w:szCs w:val="24"/>
        </w:rPr>
        <w:t xml:space="preserve">, в старшей – 15, в подготовительной – </w:t>
      </w:r>
      <w:r>
        <w:rPr>
          <w:sz w:val="24"/>
          <w:szCs w:val="24"/>
          <w:lang w:val="tt-RU"/>
        </w:rPr>
        <w:t>14детей.</w:t>
      </w:r>
    </w:p>
    <w:p>
      <w:pPr>
        <w:pStyle w:val="2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учреждения педагогическими кадрами составляет 100%.</w:t>
      </w:r>
    </w:p>
    <w:p>
      <w:pPr>
        <w:pStyle w:val="24"/>
        <w:jc w:val="both"/>
        <w:rPr>
          <w:rFonts w:ascii="Times New Roman" w:hAnsi="Times New Roman"/>
          <w:sz w:val="24"/>
          <w:szCs w:val="24"/>
          <w:lang w:eastAsia="ru-RU"/>
        </w:rPr>
      </w:pPr>
    </w:p>
    <w:p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i/>
          <w:sz w:val="24"/>
          <w:szCs w:val="24"/>
          <w:lang w:eastAsia="ar-SA"/>
        </w:rPr>
        <w:t xml:space="preserve">Учредитель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>Исполнительный комитет муниципального образования «Лениногорский муниципальный район» Республики Татарстан</w:t>
      </w:r>
    </w:p>
    <w:p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i/>
          <w:sz w:val="24"/>
          <w:szCs w:val="24"/>
          <w:lang w:eastAsia="ar-SA"/>
        </w:rPr>
        <w:t>Локальные акты</w:t>
      </w:r>
      <w:r>
        <w:rPr>
          <w:rFonts w:ascii="Times New Roman" w:hAnsi="Times New Roman"/>
          <w:sz w:val="24"/>
          <w:szCs w:val="24"/>
          <w:lang w:eastAsia="ar-SA"/>
        </w:rPr>
        <w:t xml:space="preserve">, регламентирующие деятельность ОУ: </w:t>
      </w:r>
    </w:p>
    <w:p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-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 xml:space="preserve"> Устав, </w:t>
      </w:r>
    </w:p>
    <w:p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>-Коллективный договор,</w:t>
      </w:r>
    </w:p>
    <w:p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 xml:space="preserve">- Правила внутреннего трудового распорядка, </w:t>
      </w:r>
    </w:p>
    <w:p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 xml:space="preserve">-Положение о педагогическом совете, </w:t>
      </w:r>
    </w:p>
    <w:p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 xml:space="preserve">-Положение о родительском комитете, </w:t>
      </w:r>
    </w:p>
    <w:p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 xml:space="preserve">-Положение об общем собрании работников учреждения, </w:t>
      </w:r>
    </w:p>
    <w:p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val="tt-RU"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>- Положение о премировании</w:t>
      </w:r>
      <w:r>
        <w:rPr>
          <w:rFonts w:ascii="Times New Roman" w:hAnsi="Times New Roman"/>
          <w:sz w:val="24"/>
          <w:szCs w:val="24"/>
          <w:u w:val="single"/>
          <w:lang w:val="tt-RU" w:eastAsia="ar-SA"/>
        </w:rPr>
        <w:t xml:space="preserve"> работников МБДОУ “Тимяшевский детский сад – Ласточка”</w:t>
      </w:r>
    </w:p>
    <w:p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>- Положение об условиях оплаты труда</w:t>
      </w:r>
    </w:p>
    <w:p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 xml:space="preserve">Договора с родителями, </w:t>
      </w:r>
    </w:p>
    <w:p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 xml:space="preserve">-Трудовые договора с работниками, </w:t>
      </w:r>
    </w:p>
    <w:p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>-Приказы руководителя, утвержденные в установленном порядке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Общая площадь земельного участка МБДОУ – 5426 кв.м. Оборудованы 5 групповых прогулочных  площадок. </w:t>
      </w:r>
    </w:p>
    <w:p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Общая площадь здания – 1761,1 кв.м. Норматив по площади на 1 воспитанника соответствует требованиям. Развивающая среда организована с учетом потребностей и интересов детей, обеспечивает полноценное физическое и познавательное развитие, их двигательную активность, социальную защищенность, внутренний комфорт.</w:t>
      </w:r>
    </w:p>
    <w:p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>Организация питания в МБДОУ «Тимяшевский детский сад - Ласточка» осуществляется в соответствии с требованием СанПин. Учреждение осуществляет гарантированное сбалансированное питание детей, в соответствии с их возрастом и временем пребывания в детском саду по нормам, утвержденным Санитарно-эпидемиологическими требованиями к устройству, содержанию и организации режима работы дошкольных образовательных учреждений. Питание в детском саду осуществляется в соответствии с примерным двухнедельным меню, разработанным ООО «</w:t>
      </w:r>
      <w:r>
        <w:rPr>
          <w:rFonts w:ascii="Times New Roman" w:hAnsi="Times New Roman"/>
          <w:sz w:val="24"/>
          <w:szCs w:val="24"/>
          <w:lang w:val="tt-RU" w:eastAsia="ar-SA"/>
        </w:rPr>
        <w:t>Санрайз</w:t>
      </w:r>
      <w:r>
        <w:rPr>
          <w:rFonts w:ascii="Times New Roman" w:hAnsi="Times New Roman"/>
          <w:sz w:val="24"/>
          <w:szCs w:val="24"/>
          <w:lang w:eastAsia="ar-SA"/>
        </w:rPr>
        <w:t xml:space="preserve">»  и утвержденным  руководителем  детского сада. </w:t>
      </w:r>
    </w:p>
    <w:p>
      <w:pPr>
        <w:pStyle w:val="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МБДОУ «Тимяшевский детский сад - Ласточка» функционирует в режиме 5-дневной рабочей недели, в режиме 12-часового пребывания детей, работает согласно утвержденному режиму работы, годовому календарному учебному графику, расписанию ООД , СанПиН и гигиеническими требованиями о максимальных нагрузках.</w:t>
      </w:r>
    </w:p>
    <w:p>
      <w:pPr>
        <w:pStyle w:val="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ДОУ организовано пятиразовое, полноценное, рациональное сбалансированное питание воспитанников в соответствии с санитарно-эпидемиологическими правилами и нормативами СаНПиН 2.4.1.3049-13 .</w:t>
      </w:r>
    </w:p>
    <w:p>
      <w:pPr>
        <w:pStyle w:val="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В дошкольном учреждении имеются функциональные помещения:</w:t>
      </w:r>
    </w:p>
    <w:p>
      <w:pPr>
        <w:pStyle w:val="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-музыкальный зал;</w:t>
      </w:r>
    </w:p>
    <w:p>
      <w:pPr>
        <w:pStyle w:val="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физкультурный зал;</w:t>
      </w:r>
    </w:p>
    <w:p>
      <w:pPr>
        <w:pStyle w:val="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-кабинет татарского языка;</w:t>
      </w:r>
    </w:p>
    <w:p>
      <w:pPr>
        <w:pStyle w:val="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-кабинет по изучению ПДД;</w:t>
      </w:r>
    </w:p>
    <w:p>
      <w:pPr>
        <w:pStyle w:val="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-кабинет заведующего;</w:t>
      </w:r>
    </w:p>
    <w:p>
      <w:pPr>
        <w:pStyle w:val="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кабинет старшего воспитателя;</w:t>
      </w:r>
    </w:p>
    <w:p>
      <w:pPr>
        <w:pStyle w:val="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сенсорный кабинет;</w:t>
      </w:r>
    </w:p>
    <w:p>
      <w:pPr>
        <w:pStyle w:val="2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комната охраны;</w:t>
      </w:r>
    </w:p>
    <w:p>
      <w:pPr>
        <w:pStyle w:val="2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-прачечная;</w:t>
      </w:r>
    </w:p>
    <w:p>
      <w:pPr>
        <w:pStyle w:val="2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медицинский кабинет;</w:t>
      </w:r>
    </w:p>
    <w:p>
      <w:pPr>
        <w:pStyle w:val="2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процедурный кабинет;</w:t>
      </w:r>
    </w:p>
    <w:p>
      <w:pPr>
        <w:pStyle w:val="2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изолятор;</w:t>
      </w:r>
    </w:p>
    <w:p>
      <w:pPr>
        <w:pStyle w:val="2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пищеблок </w:t>
      </w:r>
    </w:p>
    <w:p>
      <w:pPr>
        <w:pStyle w:val="27"/>
        <w:spacing w:after="0" w:line="240" w:lineRule="auto"/>
        <w:ind w:left="1134"/>
        <w:rPr>
          <w:rFonts w:ascii="Times New Roman" w:hAnsi="Times New Roman"/>
          <w:b/>
          <w:i/>
          <w:color w:val="000000"/>
          <w:sz w:val="24"/>
          <w:szCs w:val="24"/>
        </w:rPr>
      </w:pPr>
    </w:p>
    <w:p>
      <w:pPr>
        <w:pStyle w:val="27"/>
        <w:spacing w:after="0" w:line="240" w:lineRule="auto"/>
        <w:ind w:left="113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Характеристика кадрового состава</w:t>
      </w:r>
    </w:p>
    <w:p>
      <w:pPr>
        <w:pStyle w:val="27"/>
        <w:spacing w:after="0" w:line="240" w:lineRule="auto"/>
        <w:ind w:left="1134"/>
        <w:rPr>
          <w:rFonts w:ascii="Times New Roman" w:hAnsi="Times New Roman"/>
          <w:b/>
          <w:color w:val="000000"/>
          <w:sz w:val="24"/>
          <w:szCs w:val="24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педагогических работников – 1</w:t>
      </w:r>
      <w:r>
        <w:rPr>
          <w:rFonts w:ascii="Times New Roman" w:hAnsi="Times New Roman"/>
          <w:sz w:val="24"/>
          <w:szCs w:val="24"/>
          <w:lang w:val="tt-RU"/>
        </w:rPr>
        <w:t>2</w:t>
      </w:r>
      <w:r>
        <w:rPr>
          <w:rFonts w:ascii="Times New Roman" w:hAnsi="Times New Roman"/>
          <w:sz w:val="24"/>
          <w:szCs w:val="24"/>
        </w:rPr>
        <w:t>, из них воспитателей – 1</w:t>
      </w:r>
      <w:r>
        <w:rPr>
          <w:rFonts w:hint="default"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>, старших воспитателей – 1, музыкальный руководитель -1 .Все педагоги имеют  образование педагогической направленности.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Образовательный ценз: </w:t>
      </w:r>
      <w:r>
        <w:rPr>
          <w:rFonts w:ascii="Times New Roman" w:hAnsi="Times New Roman"/>
          <w:color w:val="000000"/>
          <w:sz w:val="24"/>
          <w:szCs w:val="24"/>
        </w:rPr>
        <w:t>на конец учебного года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- </w:t>
      </w:r>
      <w:r>
        <w:rPr>
          <w:rFonts w:ascii="Times New Roman" w:hAnsi="Times New Roman"/>
          <w:color w:val="000000"/>
          <w:sz w:val="24"/>
          <w:szCs w:val="24"/>
        </w:rPr>
        <w:t xml:space="preserve">с высшим образованием </w:t>
      </w:r>
      <w:r>
        <w:rPr>
          <w:rFonts w:ascii="Times New Roman" w:hAnsi="Times New Roman"/>
          <w:sz w:val="24"/>
          <w:szCs w:val="24"/>
          <w:lang w:val="tt-RU"/>
        </w:rPr>
        <w:t>7</w:t>
      </w:r>
      <w:r>
        <w:rPr>
          <w:rFonts w:ascii="Times New Roman" w:hAnsi="Times New Roman"/>
          <w:sz w:val="24"/>
          <w:szCs w:val="24"/>
        </w:rPr>
        <w:t xml:space="preserve"> педагогов (</w:t>
      </w:r>
      <w:r>
        <w:rPr>
          <w:rFonts w:ascii="Times New Roman" w:hAnsi="Times New Roman"/>
          <w:sz w:val="24"/>
          <w:szCs w:val="24"/>
          <w:lang w:val="tt-RU"/>
        </w:rPr>
        <w:t>64</w:t>
      </w:r>
      <w:r>
        <w:rPr>
          <w:rFonts w:ascii="Times New Roman" w:hAnsi="Times New Roman"/>
          <w:sz w:val="24"/>
          <w:szCs w:val="24"/>
        </w:rPr>
        <w:t xml:space="preserve">%), педагогов со средним профессиональным образованием- </w:t>
      </w:r>
      <w:r>
        <w:rPr>
          <w:rFonts w:ascii="Times New Roman" w:hAnsi="Times New Roman"/>
          <w:sz w:val="24"/>
          <w:szCs w:val="24"/>
          <w:lang w:val="tt-RU"/>
        </w:rPr>
        <w:t>4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tt-RU"/>
        </w:rPr>
        <w:t>36</w:t>
      </w:r>
      <w:r>
        <w:rPr>
          <w:rFonts w:ascii="Times New Roman" w:hAnsi="Times New Roman"/>
          <w:sz w:val="24"/>
          <w:szCs w:val="24"/>
        </w:rPr>
        <w:t xml:space="preserve">%).  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Имеют первую квалификационную категор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tt-RU"/>
        </w:rPr>
        <w:t>ию по состоянию на 2023 год – 8 (73%)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учреждении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разработан единый перспективный план аттестации и повышения квалификации педагогических кадров. Квалификационных категорий педагоги не имеют  ( 3 педагога: 1- молодой специалист, 1 – работает менее 2 лет после декретного отпуска, 1 – не заявлялась) ). В течение учебного года была организована работа по реализации персонифицированной модели повышения квалификации. Все педагоги своевременно обучаются на курсах ПК. В 20</w:t>
      </w:r>
      <w:r>
        <w:rPr>
          <w:rFonts w:ascii="Times New Roman" w:hAnsi="Times New Roman"/>
          <w:sz w:val="24"/>
          <w:szCs w:val="24"/>
          <w:lang w:val="tt-RU"/>
        </w:rPr>
        <w:t xml:space="preserve">22 </w:t>
      </w:r>
      <w:r>
        <w:rPr>
          <w:rFonts w:ascii="Times New Roman" w:hAnsi="Times New Roman"/>
          <w:sz w:val="24"/>
          <w:szCs w:val="24"/>
        </w:rPr>
        <w:t>году  прошли курсы повышения квалификации  (на бюджетной основе) –</w:t>
      </w:r>
      <w:r>
        <w:rPr>
          <w:rFonts w:ascii="Times New Roman" w:hAnsi="Times New Roman"/>
          <w:sz w:val="24"/>
          <w:szCs w:val="24"/>
          <w:lang w:val="tt-RU"/>
        </w:rPr>
        <w:t xml:space="preserve"> 5</w:t>
      </w:r>
      <w:r>
        <w:rPr>
          <w:rFonts w:ascii="Times New Roman" w:hAnsi="Times New Roman"/>
          <w:sz w:val="24"/>
          <w:szCs w:val="24"/>
        </w:rPr>
        <w:t xml:space="preserve">. 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1.2 Правоустанавливающие документы</w:t>
      </w:r>
    </w:p>
    <w:p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i/>
          <w:sz w:val="24"/>
          <w:szCs w:val="24"/>
          <w:lang w:eastAsia="ar-SA"/>
        </w:rPr>
        <w:t xml:space="preserve">Устав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>Муниципального бюджетного дошкольного образовательного учреждения «Тимяшевский детский сад- Ласточка» муниципального образования «Лениногорский муниципальный район»  Республики Татарстан (далее сокращенное наименование – Учреждение)</w:t>
      </w:r>
      <w:r>
        <w:rPr>
          <w:rFonts w:ascii="Times New Roman" w:hAnsi="Times New Roman"/>
          <w:sz w:val="24"/>
          <w:szCs w:val="24"/>
          <w:lang w:eastAsia="ar-SA"/>
        </w:rPr>
        <w:t xml:space="preserve">,  утверждён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>постановлением руководителя Исполнительного комитета муниципального образования «Лениногорский муниципальный район» Республики Татарстан № 1442 от 07.10.2019 года</w:t>
      </w:r>
      <w:r>
        <w:rPr>
          <w:rFonts w:ascii="Times New Roman" w:hAnsi="Times New Roman"/>
          <w:sz w:val="24"/>
          <w:szCs w:val="24"/>
          <w:lang w:eastAsia="ar-SA"/>
        </w:rPr>
        <w:t xml:space="preserve">, зарегистрирован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 xml:space="preserve">в Единый государственный реестр юридических лиц 16.11.2015  </w:t>
      </w:r>
    </w:p>
    <w:p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i/>
          <w:sz w:val="24"/>
          <w:szCs w:val="24"/>
          <w:u w:val="single"/>
          <w:lang w:eastAsia="ar-SA"/>
        </w:rPr>
        <w:t>Свидетельства:</w:t>
      </w:r>
    </w:p>
    <w:p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Свидетельство о постановке на учет Российской организации в налоговом органе от 08.07.2015, выдано Межрайонной инспекцией Федеральной налоговой службы №17 по Республике Татарстан (1649 Территориальный участок Межрайонной инспекции Федеральной налоговой службы № 17 по Республике Татарстан по Лениногорскому району и г.Лениногорску), ИНН 1649006624 /КПП 164901001, серия 16, № 007154315;</w:t>
      </w:r>
    </w:p>
    <w:p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Выписка из Единого государственного реестра юридических лиц от 16.11.2015 № 4437/В 2015</w:t>
      </w:r>
    </w:p>
    <w:p>
      <w:pPr>
        <w:spacing w:before="100" w:beforeAutospacing="1" w:after="0" w:line="0" w:lineRule="atLeast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Лист записи Единого государственного реестра юридических лиц от 08.07.2015г., выдано Межрайонной инспекцией Федеральной налоговой службы №17 по Республике Татарстан.</w:t>
      </w:r>
    </w:p>
    <w:p>
      <w:pPr>
        <w:widowControl w:val="0"/>
        <w:suppressAutoHyphens/>
        <w:autoSpaceDE w:val="0"/>
        <w:spacing w:after="0" w:line="0" w:lineRule="atLeast"/>
        <w:ind w:firstLine="708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>
        <w:rPr>
          <w:rFonts w:ascii="Times New Roman" w:hAnsi="Times New Roman"/>
          <w:i/>
          <w:sz w:val="24"/>
          <w:szCs w:val="24"/>
          <w:u w:val="single"/>
          <w:lang w:eastAsia="ar-SA"/>
        </w:rPr>
        <w:t xml:space="preserve"> Документы, на основании которых осуществляет свою деятельность ОУ</w:t>
      </w:r>
      <w:r>
        <w:rPr>
          <w:rFonts w:ascii="Times New Roman" w:hAnsi="Times New Roman"/>
          <w:i/>
          <w:sz w:val="24"/>
          <w:szCs w:val="24"/>
          <w:lang w:eastAsia="ar-SA"/>
        </w:rPr>
        <w:t>:</w:t>
      </w:r>
    </w:p>
    <w:p>
      <w:pPr>
        <w:widowControl w:val="0"/>
        <w:suppressAutoHyphens/>
        <w:autoSpaceDE w:val="0"/>
        <w:spacing w:after="0" w:line="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а) Разрешение Исполнительного комитета муниципального образования «Лениногорский муниципальный район»  на ввод объекта в эксплуатацию от 07.12.2015 № 16-</w:t>
      </w:r>
      <w:r>
        <w:rPr>
          <w:rFonts w:ascii="Times New Roman" w:hAnsi="Times New Roman"/>
          <w:sz w:val="24"/>
          <w:szCs w:val="24"/>
          <w:lang w:val="en-US" w:eastAsia="ar-SA"/>
        </w:rPr>
        <w:t>RU</w:t>
      </w:r>
      <w:r>
        <w:rPr>
          <w:rFonts w:ascii="Times New Roman" w:hAnsi="Times New Roman"/>
          <w:sz w:val="24"/>
          <w:szCs w:val="24"/>
          <w:lang w:eastAsia="ar-SA"/>
        </w:rPr>
        <w:t>16525000-067-2015;</w:t>
      </w:r>
    </w:p>
    <w:p>
      <w:pPr>
        <w:widowControl w:val="0"/>
        <w:suppressAutoHyphens/>
        <w:autoSpaceDE w:val="0"/>
        <w:spacing w:after="0" w:line="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б) лицензия Министерства образования и науки Республики Татарстан на право ведения образовательной деятельности: серия 16 Л О1, регистрационный номер № 0004359 от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 xml:space="preserve"> 20.05.2016, № 8364</w:t>
      </w:r>
      <w:r>
        <w:rPr>
          <w:rFonts w:ascii="Times New Roman" w:hAnsi="Times New Roman"/>
          <w:sz w:val="24"/>
          <w:szCs w:val="24"/>
          <w:lang w:eastAsia="ar-SA"/>
        </w:rPr>
        <w:t xml:space="preserve">, срок действия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>бессрочно</w:t>
      </w:r>
      <w:r>
        <w:rPr>
          <w:rFonts w:ascii="Times New Roman" w:hAnsi="Times New Roman"/>
          <w:sz w:val="24"/>
          <w:szCs w:val="24"/>
          <w:lang w:eastAsia="ar-SA"/>
        </w:rPr>
        <w:t xml:space="preserve"> (с Приложением №1 к лицензии);</w:t>
      </w:r>
    </w:p>
    <w:p>
      <w:pPr>
        <w:widowControl w:val="0"/>
        <w:suppressAutoHyphens/>
        <w:autoSpaceDE w:val="0"/>
        <w:spacing w:after="0" w:line="0" w:lineRule="atLeast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в)лицензия на осуществление медицинской деятельности выдана Министерством здравоохранения Республики Татарстан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>от 18.03.2019 № ЛО 16-01-007432, серия ЛО-01 0010668</w:t>
      </w:r>
    </w:p>
    <w:p>
      <w:pPr>
        <w:widowControl w:val="0"/>
        <w:suppressAutoHyphens/>
        <w:autoSpaceDE w:val="0"/>
        <w:spacing w:after="0" w:line="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</w:p>
    <w:p>
      <w:pPr>
        <w:widowControl w:val="0"/>
        <w:suppressAutoHyphens/>
        <w:autoSpaceDE w:val="0"/>
        <w:spacing w:after="0" w:line="0" w:lineRule="atLeast"/>
        <w:ind w:firstLine="708"/>
        <w:jc w:val="both"/>
        <w:rPr>
          <w:rFonts w:ascii="Times New Roman" w:hAnsi="Times New Roman"/>
          <w:i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i/>
          <w:sz w:val="24"/>
          <w:szCs w:val="24"/>
          <w:u w:val="single"/>
          <w:lang w:eastAsia="ar-SA"/>
        </w:rPr>
        <w:t xml:space="preserve">На каких площадях ведётся образовательная деятельность (собственность, оперативное управление, аренда) </w:t>
      </w:r>
    </w:p>
    <w:p>
      <w:pPr>
        <w:spacing w:after="0" w:line="0" w:lineRule="atLeast"/>
        <w:ind w:firstLine="85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2.1.1. Свидетельство о государственной регистрации права, № 16-16/027-16/027/003/2015-682/1 от 23.04.2015, серия 16-АН 827270, № 515211 от 22.02.2012г., объект права: Земельный участок</w:t>
      </w:r>
    </w:p>
    <w:p>
      <w:pPr>
        <w:spacing w:before="100" w:beforeAutospacing="1" w:after="0" w:line="0" w:lineRule="atLeast"/>
        <w:ind w:firstLine="851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2.1.2.Свидетельство о государственной регистрации права, № 16-16/027-16/104/001/2016-2544/1 от 05.04.2014, серия 626203., объект права: МБДОУ «Тимяшевский детский сад – Ласточка».</w:t>
      </w:r>
    </w:p>
    <w:p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2.1.3. </w:t>
      </w:r>
      <w:r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Санитарно-эпидемиологическое заключение ТО Управления Роспотребнадзора по РТ в Лениногорском районе и г. Лениногорск:</w:t>
      </w:r>
      <w:r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№ 16.07.01.000.М.000260.12.15 от 07.12.2015 г.; регистрационный № 2469511;</w:t>
      </w:r>
    </w:p>
    <w:p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Заключение государственной противопожарной службы: №42/22 от 25.11.2015г.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1.3 Общие сведения об образовательной деятельности</w:t>
      </w:r>
    </w:p>
    <w:p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Образовательная деятельность в Учреждении организована в соответствии с Федеральным законом от 29.12.2012 № 273-ФЗ «Об образовании в Российской Федерации», ФГОС дошкольного образования, СанПиН 2.41.3049-13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Образовательная деятельность ведется на основании утвержденной основной образовательной программы дошкольного образования, составленная в соответствии с ФГОС дошкольного образования, санитарно-эпидемиологическими правилами и нормативами, с учетом недельной нагрузки.</w:t>
      </w:r>
    </w:p>
    <w:p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Комплектование учреждения на очередной учебный год осуществляется в соответствии с утверждённым количеством групп и свободных мест в нем на очередной учебный год с 1 июня по 31 августа текущего года. В случае выбытия воспитанников, ввода новых дошкольных мест в течение учебного года производится доукомплектование в соответствии с порядком направления и зачисления в </w:t>
      </w:r>
      <w:r>
        <w:rPr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чреждение, закрепленном Административным регламентом.</w:t>
      </w:r>
      <w:r>
        <w:rPr>
          <w:rFonts w:ascii="Times New Roman" w:hAnsi="Times New Roman"/>
          <w:sz w:val="24"/>
          <w:szCs w:val="24"/>
          <w:lang w:eastAsia="ar-SA"/>
        </w:rPr>
        <w:t xml:space="preserve"> Контингент воспитанников формируется в соответствии с их возрастом; количество групп определяется в зависимости от санитарных норм и условий образовательного процесса, предельной наполняемости, принятой при расчете норматива бюджетного финансирования.   </w:t>
      </w:r>
    </w:p>
    <w:p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</w:t>
      </w:r>
      <w:r>
        <w:rPr>
          <w:rFonts w:ascii="Times New Roman" w:hAnsi="Times New Roman"/>
          <w:sz w:val="24"/>
          <w:szCs w:val="24"/>
          <w:highlight w:val="white"/>
          <w:lang w:eastAsia="ru-RU"/>
        </w:rPr>
        <w:t xml:space="preserve">Основанием для приема и зачисления в учреждение является протокол автоматизированной системы «Электронный детский сад», утвержденный в установленном порядке; </w:t>
      </w:r>
      <w:r>
        <w:rPr>
          <w:rFonts w:ascii="Times New Roman" w:hAnsi="Times New Roman"/>
          <w:sz w:val="24"/>
          <w:szCs w:val="24"/>
          <w:lang w:eastAsia="ru-RU"/>
        </w:rPr>
        <w:t>письменное заявление родителей (законных представителей) на имя заведующего Учреждением. Предоставляются следующие документы:</w:t>
      </w:r>
    </w:p>
    <w:p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медицинское заключение о состоянии здоровья ребенка установленного образца;</w:t>
      </w:r>
    </w:p>
    <w:p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свидетельство о рождении ребенка;</w:t>
      </w:r>
    </w:p>
    <w:p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свидетельство о регистрации места жительства ребенка.</w:t>
      </w:r>
    </w:p>
    <w:p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i/>
          <w:sz w:val="24"/>
          <w:szCs w:val="24"/>
          <w:lang w:eastAsia="ar-SA"/>
        </w:rPr>
      </w:pPr>
      <w:r>
        <w:rPr>
          <w:rFonts w:ascii="Times New Roman" w:hAnsi="Times New Roman"/>
          <w:i/>
          <w:sz w:val="24"/>
          <w:szCs w:val="24"/>
          <w:lang w:eastAsia="ar-SA"/>
        </w:rPr>
        <w:t>Комплектование групп:</w:t>
      </w:r>
    </w:p>
    <w:tbl>
      <w:tblPr>
        <w:tblStyle w:val="7"/>
        <w:tblW w:w="9498" w:type="dxa"/>
        <w:tblInd w:w="-102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709"/>
        <w:gridCol w:w="2552"/>
        <w:gridCol w:w="3662"/>
        <w:gridCol w:w="2575"/>
      </w:tblGrid>
      <w:tr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9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 w:type="textWrapping"/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Возраст</w:t>
            </w: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Количество групп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Количество детей</w:t>
            </w:r>
          </w:p>
        </w:tc>
      </w:tr>
      <w:tr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8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1,5-3</w:t>
            </w: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</w:tr>
      <w:tr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27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3-7</w:t>
            </w: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64</w:t>
            </w:r>
          </w:p>
        </w:tc>
      </w:tr>
    </w:tbl>
    <w:p>
      <w:pPr>
        <w:tabs>
          <w:tab w:val="left" w:pos="1800"/>
        </w:tabs>
        <w:spacing w:after="0"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</w:t>
      </w:r>
    </w:p>
    <w:p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 Характеристика семей по составу</w:t>
      </w: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0"/>
        <w:gridCol w:w="1880"/>
        <w:gridCol w:w="51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85%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0 %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0%</w:t>
            </w:r>
          </w:p>
        </w:tc>
      </w:tr>
    </w:tbl>
    <w:p>
      <w:pPr>
        <w:rPr>
          <w:rFonts w:hAnsi="Times New Roman" w:asciiTheme="minorHAnsi"/>
          <w:color w:val="000000"/>
          <w:sz w:val="24"/>
          <w:szCs w:val="24"/>
          <w:lang w:val="en-US"/>
        </w:rPr>
      </w:pPr>
      <w:r>
        <w:rPr>
          <w:rFonts w:hAnsi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1851"/>
        <w:gridCol w:w="50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40%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40%</w:t>
            </w:r>
          </w:p>
        </w:tc>
      </w:tr>
    </w:tbl>
    <w:p>
      <w:pPr>
        <w:rPr>
          <w:rFonts w:hAnsi="Times New Roman"/>
          <w:color w:val="000000"/>
          <w:sz w:val="24"/>
          <w:szCs w:val="24"/>
        </w:rPr>
      </w:pPr>
    </w:p>
    <w:p>
      <w:pPr>
        <w:jc w:val="both"/>
        <w:rPr>
          <w:rFonts w:hAnsi="Times New Roman" w:asciiTheme="minorHAnsi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Детский сад.</w:t>
      </w:r>
    </w:p>
    <w:p>
      <w:pPr>
        <w:tabs>
          <w:tab w:val="left" w:pos="1800"/>
        </w:tabs>
        <w:spacing w:after="0" w:line="240" w:lineRule="auto"/>
        <w:rPr>
          <w:sz w:val="24"/>
          <w:szCs w:val="24"/>
          <w:lang w:eastAsia="ru-RU"/>
        </w:rPr>
      </w:pPr>
    </w:p>
    <w:p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Методическая работа осуществляется дифференцированно и индивидуально. Формы и методы отбираются с учетом категории педагогических кадров, уровня их подготовленности, стажа работы, образования. Основной формой методической работы для всех педагогов является педагогический совет, деятельность которого регламентируется Положением о педагогическом совете.  Тематика заседаний определяется задачами деятельности Учреждения на учебный год.  В течение года педагоги работали по повышению самообразования, изучали новинки методической литературы, реализовывали ЭРС и УМК в образовательном процессе.</w:t>
      </w:r>
    </w:p>
    <w:p>
      <w:pPr>
        <w:pStyle w:val="20"/>
        <w:shd w:val="clear" w:color="auto" w:fill="FFFFFF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заседаниях Педагогических советов изучались нормативно-правовые документы, проводился анализ выполнения педагогами программных и годовых задач, планировались текущие мероприятия, рассматривались результаты контрольной деятельности, использование УМК по обучению детей татарскому языку, педагогические методики и технологии, эффективные формы взаимодействия детского сада и семьи. </w:t>
      </w:r>
    </w:p>
    <w:p>
      <w:pPr>
        <w:pStyle w:val="20"/>
        <w:shd w:val="clear" w:color="auto" w:fill="FFFFFF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Задачи решались на протяжении всего учебного года в соответствии с годовым планом и сроками их исполнения. </w:t>
      </w:r>
    </w:p>
    <w:p>
      <w:pPr>
        <w:pStyle w:val="20"/>
        <w:shd w:val="clear" w:color="auto" w:fill="FFFFFF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Методическая работа осуществлялась на педагогических советах, консультациях, семинарах, где  педагоги делились своим опытом работы с детьми перед своими коллегами. В учебном году осуществлялся контроль за организацией и проведением ОД в соответствии с годовым планом, проведены тематические проверки: эффективность воспитательно-образовательной работы по организации экологической деятельности (все группы)   , состояние воспитательно-образовательной работы по обучению детей татарскому языку, организация работы ДОУ по предупреждению детского дорожно-транспортного травматизма, организация работы по патриотическому воспитанию детей дошкольного возраста, подготовка групп и ДОУ в целом к новому учебному году, контроль за созданием благоприятных адаптивных условий в группе  раннего возраста, проверка уровня  подготовленности  детей к обучению в школе (изучение стартовых возможностей дошкольников  (апрель), диагностика обучения в ДОУ правилам безопасного поведения на дорогах.</w:t>
      </w:r>
    </w:p>
    <w:p>
      <w:pPr>
        <w:spacing w:before="90" w:beforeAutospacing="1" w:after="90" w:afterAutospacing="1" w:line="270" w:lineRule="atLeast"/>
        <w:ind w:left="-426"/>
        <w:jc w:val="both"/>
        <w:rPr>
          <w:rFonts w:ascii="Times New Roman" w:hAnsi="Times New Roman" w:eastAsia="Calibri"/>
          <w:sz w:val="24"/>
          <w:szCs w:val="24"/>
          <w:lang w:eastAsia="ru-RU"/>
        </w:rPr>
      </w:pPr>
      <w:r>
        <w:rPr>
          <w:rFonts w:ascii="Times New Roman" w:hAnsi="Times New Roman" w:eastAsia="Calibri"/>
          <w:sz w:val="24"/>
          <w:szCs w:val="24"/>
          <w:lang w:eastAsia="ru-RU"/>
        </w:rPr>
        <w:t xml:space="preserve">     В течение  года  педагоги работали по индивидуальным планам  самообразования:</w:t>
      </w:r>
    </w:p>
    <w:tbl>
      <w:tblPr>
        <w:tblStyle w:val="7"/>
        <w:tblW w:w="9226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"/>
        <w:gridCol w:w="964"/>
        <w:gridCol w:w="1926"/>
        <w:gridCol w:w="6211"/>
        <w:gridCol w:w="3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" w:hRule="atLeast"/>
        </w:trPr>
        <w:tc>
          <w:tcPr>
            <w:tcW w:w="1051" w:type="dxa"/>
            <w:gridSpan w:val="2"/>
            <w:vAlign w:val="center"/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Calibri"/>
                <w:b/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Calibri"/>
                <w:b/>
                <w:sz w:val="24"/>
                <w:szCs w:val="24"/>
              </w:rPr>
            </w:pPr>
          </w:p>
        </w:tc>
        <w:tc>
          <w:tcPr>
            <w:tcW w:w="6249" w:type="dxa"/>
            <w:gridSpan w:val="2"/>
            <w:vAlign w:val="center"/>
          </w:tcPr>
          <w:p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Calibri"/>
                <w:b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</w:trPr>
        <w:tc>
          <w:tcPr>
            <w:tcW w:w="1051" w:type="dxa"/>
            <w:gridSpan w:val="2"/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1</w:t>
            </w:r>
          </w:p>
        </w:tc>
        <w:tc>
          <w:tcPr>
            <w:tcW w:w="1926" w:type="dxa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</w:rPr>
              <w:t>Валиева Г.М.</w:t>
            </w:r>
          </w:p>
        </w:tc>
        <w:tc>
          <w:tcPr>
            <w:tcW w:w="6249" w:type="dxa"/>
            <w:gridSpan w:val="2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Всестороннее развитие детей дошкольного возраста с использованием блоков Дьенеша.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8" w:hRule="atLeast"/>
        </w:trPr>
        <w:tc>
          <w:tcPr>
            <w:tcW w:w="1051" w:type="dxa"/>
            <w:gridSpan w:val="2"/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2</w:t>
            </w:r>
          </w:p>
        </w:tc>
        <w:tc>
          <w:tcPr>
            <w:tcW w:w="1926" w:type="dxa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Касаева А.Ю.</w:t>
            </w:r>
          </w:p>
        </w:tc>
        <w:tc>
          <w:tcPr>
            <w:tcW w:w="6249" w:type="dxa"/>
            <w:gridSpan w:val="2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Использование  интерактивных игр в воспитательно-образовательном процессе ДОУ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8" w:hRule="atLeast"/>
        </w:trPr>
        <w:tc>
          <w:tcPr>
            <w:tcW w:w="1051" w:type="dxa"/>
            <w:gridSpan w:val="2"/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3</w:t>
            </w:r>
          </w:p>
        </w:tc>
        <w:tc>
          <w:tcPr>
            <w:tcW w:w="1926" w:type="dxa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Каргина Г.П.</w:t>
            </w:r>
          </w:p>
        </w:tc>
        <w:tc>
          <w:tcPr>
            <w:tcW w:w="6249" w:type="dxa"/>
            <w:gridSpan w:val="2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Использование инновационного метода мнемотехники в развитии речи детей старшего дошкольного возраста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</w:trPr>
        <w:tc>
          <w:tcPr>
            <w:tcW w:w="1051" w:type="dxa"/>
            <w:gridSpan w:val="2"/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4</w:t>
            </w:r>
          </w:p>
        </w:tc>
        <w:tc>
          <w:tcPr>
            <w:tcW w:w="1926" w:type="dxa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Рахимзянова Г.Р.</w:t>
            </w:r>
          </w:p>
        </w:tc>
        <w:tc>
          <w:tcPr>
            <w:tcW w:w="6249" w:type="dxa"/>
            <w:gridSpan w:val="2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Познавательно-исследовательская деятельность детей дошкольного возраста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8" w:hRule="atLeast"/>
        </w:trPr>
        <w:tc>
          <w:tcPr>
            <w:tcW w:w="1051" w:type="dxa"/>
            <w:gridSpan w:val="2"/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5</w:t>
            </w:r>
          </w:p>
        </w:tc>
        <w:tc>
          <w:tcPr>
            <w:tcW w:w="1926" w:type="dxa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Николаева С.Г.</w:t>
            </w:r>
          </w:p>
        </w:tc>
        <w:tc>
          <w:tcPr>
            <w:tcW w:w="6249" w:type="dxa"/>
            <w:gridSpan w:val="2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Формирование у детей дошкольного возраста навыков безопасного поведения на дорогах в условиях ДОУ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" w:hRule="atLeast"/>
        </w:trPr>
        <w:tc>
          <w:tcPr>
            <w:tcW w:w="1051" w:type="dxa"/>
            <w:gridSpan w:val="2"/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6</w:t>
            </w:r>
          </w:p>
        </w:tc>
        <w:tc>
          <w:tcPr>
            <w:tcW w:w="1926" w:type="dxa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Салемгареева Р.Р.</w:t>
            </w:r>
          </w:p>
        </w:tc>
        <w:tc>
          <w:tcPr>
            <w:tcW w:w="6249" w:type="dxa"/>
            <w:gridSpan w:val="2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Сенсорное воспитание детей дошкольного возраста через дидактические игры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8" w:hRule="atLeast"/>
        </w:trPr>
        <w:tc>
          <w:tcPr>
            <w:tcW w:w="1051" w:type="dxa"/>
            <w:gridSpan w:val="2"/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7</w:t>
            </w:r>
          </w:p>
        </w:tc>
        <w:tc>
          <w:tcPr>
            <w:tcW w:w="1926" w:type="dxa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Сафарова Г.Р.</w:t>
            </w:r>
          </w:p>
        </w:tc>
        <w:tc>
          <w:tcPr>
            <w:tcW w:w="6249" w:type="dxa"/>
            <w:gridSpan w:val="2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Развитие музыкально-творческих способностей воспитанников через интеграцию образовательных областей с использованием современных образовательных технологий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</w:trPr>
        <w:tc>
          <w:tcPr>
            <w:tcW w:w="1051" w:type="dxa"/>
            <w:gridSpan w:val="2"/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8</w:t>
            </w:r>
          </w:p>
        </w:tc>
        <w:tc>
          <w:tcPr>
            <w:tcW w:w="1926" w:type="dxa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</w:rPr>
              <w:t>Сергеева Р.А.</w:t>
            </w:r>
          </w:p>
        </w:tc>
        <w:tc>
          <w:tcPr>
            <w:tcW w:w="6249" w:type="dxa"/>
            <w:gridSpan w:val="2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Нейрогимнастика как средство интеллектуального развития и познавательной активности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2" w:hRule="atLeast"/>
        </w:trPr>
        <w:tc>
          <w:tcPr>
            <w:tcW w:w="1051" w:type="dxa"/>
            <w:gridSpan w:val="2"/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9</w:t>
            </w:r>
          </w:p>
        </w:tc>
        <w:tc>
          <w:tcPr>
            <w:tcW w:w="1926" w:type="dxa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</w:rPr>
              <w:t>Тимошкина Н.Н.</w:t>
            </w:r>
          </w:p>
        </w:tc>
        <w:tc>
          <w:tcPr>
            <w:tcW w:w="6249" w:type="dxa"/>
            <w:gridSpan w:val="2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Игры и упражнения для развития мелкой моторики и снятия психоэмоционального напряжения детей младшего дошкольного возраста 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</w:trPr>
        <w:tc>
          <w:tcPr>
            <w:tcW w:w="1051" w:type="dxa"/>
            <w:gridSpan w:val="2"/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10</w:t>
            </w:r>
          </w:p>
        </w:tc>
        <w:tc>
          <w:tcPr>
            <w:tcW w:w="1926" w:type="dxa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</w:rPr>
              <w:t>Корнилова Т.П</w:t>
            </w:r>
          </w:p>
        </w:tc>
        <w:tc>
          <w:tcPr>
            <w:tcW w:w="6249" w:type="dxa"/>
            <w:gridSpan w:val="2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Развитие мелкой моторики у детей раннего возраста посредством различных видов деятельности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8" w:hRule="atLeast"/>
        </w:trPr>
        <w:tc>
          <w:tcPr>
            <w:tcW w:w="1051" w:type="dxa"/>
            <w:gridSpan w:val="2"/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11</w:t>
            </w:r>
          </w:p>
        </w:tc>
        <w:tc>
          <w:tcPr>
            <w:tcW w:w="1926" w:type="dxa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</w:rPr>
              <w:t>Хайруллина Р.Р.</w:t>
            </w:r>
          </w:p>
        </w:tc>
        <w:tc>
          <w:tcPr>
            <w:tcW w:w="6249" w:type="dxa"/>
            <w:gridSpan w:val="2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Обучающие структуры сингапурской методики при обучении детей татарскому языку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8" w:hRule="atLeast"/>
        </w:trPr>
        <w:tc>
          <w:tcPr>
            <w:tcW w:w="1051" w:type="dxa"/>
            <w:gridSpan w:val="2"/>
          </w:tcPr>
          <w:p>
            <w:pPr>
              <w:spacing w:before="100" w:beforeAutospacing="1" w:after="100" w:afterAutospacing="1" w:line="273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12</w:t>
            </w:r>
          </w:p>
        </w:tc>
        <w:tc>
          <w:tcPr>
            <w:tcW w:w="1926" w:type="dxa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</w:rPr>
              <w:t>Ялалова З.Р.</w:t>
            </w:r>
          </w:p>
        </w:tc>
        <w:tc>
          <w:tcPr>
            <w:tcW w:w="6249" w:type="dxa"/>
            <w:gridSpan w:val="2"/>
          </w:tcPr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Формирование элементарных математических способностей у детей младшего дошкольного возраста с использованием пособия Нумикон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87" w:type="dxa"/>
          <w:wAfter w:w="38" w:type="dxa"/>
          <w:trHeight w:val="1189" w:hRule="atLeast"/>
          <w:tblCellSpacing w:w="20" w:type="dxa"/>
        </w:trPr>
        <w:tc>
          <w:tcPr>
            <w:tcW w:w="9101" w:type="dxa"/>
            <w:gridSpan w:val="3"/>
          </w:tcPr>
          <w:p>
            <w:pPr>
              <w:jc w:val="both"/>
              <w:rPr>
                <w:rFonts w:ascii="Times New Roman" w:hAnsi="Times New Roman" w:eastAsia="SimSun"/>
                <w:color w:val="000000"/>
              </w:rPr>
            </w:pPr>
          </w:p>
          <w:p>
            <w:pPr>
              <w:jc w:val="both"/>
              <w:rPr>
                <w:rFonts w:ascii="Times New Roman" w:hAnsi="Times New Roman" w:eastAsia="SimSun"/>
                <w:b/>
                <w:color w:val="000000"/>
              </w:rPr>
            </w:pPr>
            <w:r>
              <w:rPr>
                <w:rFonts w:ascii="Times New Roman" w:hAnsi="Times New Roman" w:eastAsia="SimSun"/>
                <w:b/>
                <w:color w:val="000000"/>
              </w:rPr>
              <w:t xml:space="preserve">       В</w:t>
            </w:r>
            <w:r>
              <w:rPr>
                <w:rFonts w:ascii="Times New Roman" w:hAnsi="Times New Roman" w:eastAsia="SimSun"/>
                <w:b/>
                <w:color w:val="000000"/>
              </w:rPr>
              <w:tab/>
            </w:r>
            <w:r>
              <w:rPr>
                <w:rFonts w:ascii="Times New Roman" w:hAnsi="Times New Roman" w:eastAsia="SimSun"/>
                <w:b/>
                <w:color w:val="000000"/>
              </w:rPr>
              <w:t xml:space="preserve">2023 году в ДОУ педагоги  прошли  плановую аттестацию  </w:t>
            </w:r>
          </w:p>
          <w:p>
            <w:pPr>
              <w:jc w:val="both"/>
              <w:rPr>
                <w:rFonts w:ascii="Times New Roman" w:hAnsi="Times New Roman" w:eastAsia="SimSun"/>
                <w:color w:val="000000"/>
              </w:rPr>
            </w:pPr>
            <w:r>
              <w:rPr>
                <w:rFonts w:ascii="Times New Roman" w:hAnsi="Times New Roman" w:eastAsia="SimSun"/>
                <w:color w:val="000000"/>
              </w:rPr>
              <w:t xml:space="preserve">Каргина Г.П., воспитатель,   первая квалификационная категория , </w:t>
            </w:r>
          </w:p>
          <w:p>
            <w:pPr>
              <w:jc w:val="both"/>
              <w:rPr>
                <w:rFonts w:ascii="Times New Roman" w:hAnsi="Times New Roman" w:eastAsia="SimSun"/>
                <w:color w:val="000000"/>
              </w:rPr>
            </w:pPr>
            <w:r>
              <w:rPr>
                <w:rFonts w:ascii="Times New Roman" w:hAnsi="Times New Roman" w:eastAsia="SimSun"/>
                <w:color w:val="000000"/>
              </w:rPr>
              <w:t xml:space="preserve">Рахимзянова Г.Р, воспитатель,   первая  квалификационная категория , </w:t>
            </w:r>
          </w:p>
          <w:p>
            <w:pPr>
              <w:jc w:val="both"/>
              <w:rPr>
                <w:rFonts w:ascii="Times New Roman" w:hAnsi="Times New Roman" w:eastAsia="SimSun"/>
                <w:color w:val="000000"/>
              </w:rPr>
            </w:pPr>
            <w:r>
              <w:rPr>
                <w:rFonts w:ascii="Times New Roman" w:hAnsi="Times New Roman" w:eastAsia="SimSun"/>
                <w:color w:val="000000"/>
              </w:rPr>
              <w:t>Николаева С.Г, воспитатель, первая квалификационная категория</w:t>
            </w:r>
          </w:p>
          <w:p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 w:eastAsia="Calibri"/>
                <w:b/>
                <w:color w:val="000000"/>
                <w:sz w:val="24"/>
                <w:szCs w:val="24"/>
              </w:rPr>
            </w:pPr>
          </w:p>
        </w:tc>
      </w:tr>
    </w:tbl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целях обеспечения личностно-ориентированного подхода в образовательной работе с детьми, в соответствии с годовым планом ДОУ и приказа заведующей  ДОУ от 17 марта  2023г. №54 «О проведении мониторинга качества освоения образовательной  программы воспитанниками»  с 17.04.2023г. по 27.04.2023г.  воспитателями всех возрастных  групп и специалистами  проведена педагогическая диагностика уровня развития детей по образовательным областям и целевым ориентирам на конец     2023 учебного года.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Итоги педагогической диагностики за второе  полугодие показали, что воспитанниками МБДОУ «Тимяшевский детский сад - Ласточка» материал по всем образовательным областям усвоен на высоком уровне (результаты представлены в нижеследующих таблицах).</w:t>
      </w: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1.</w:t>
      </w:r>
      <w:r>
        <w:rPr>
          <w:rFonts w:ascii="Times New Roman" w:hAnsi="Times New Roman"/>
          <w:b/>
        </w:rPr>
        <w:t>Промежуточные результаты в первой младшей группе</w:t>
      </w: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Мониторинг целевых ориентиров</w:t>
      </w:r>
    </w:p>
    <w:tbl>
      <w:tblPr>
        <w:tblStyle w:val="7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5"/>
        <w:gridCol w:w="869"/>
        <w:gridCol w:w="796"/>
        <w:gridCol w:w="1050"/>
        <w:gridCol w:w="1035"/>
        <w:gridCol w:w="915"/>
        <w:gridCol w:w="85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детей - 18</w:t>
            </w:r>
          </w:p>
        </w:tc>
        <w:tc>
          <w:tcPr>
            <w:tcW w:w="166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Высокий уровень</w:t>
            </w:r>
          </w:p>
        </w:tc>
        <w:tc>
          <w:tcPr>
            <w:tcW w:w="208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Средний уровень</w:t>
            </w:r>
          </w:p>
        </w:tc>
        <w:tc>
          <w:tcPr>
            <w:tcW w:w="1770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Низкий уровень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Вывод:</w:t>
            </w:r>
          </w:p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Качество:    100  %</w:t>
            </w:r>
          </w:p>
        </w:tc>
        <w:tc>
          <w:tcPr>
            <w:tcW w:w="8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</w:t>
            </w:r>
          </w:p>
        </w:tc>
        <w:tc>
          <w:tcPr>
            <w:tcW w:w="79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0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03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1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85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0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0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9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Мониторинг образовательного процесса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50"/>
        <w:gridCol w:w="884"/>
        <w:gridCol w:w="992"/>
        <w:gridCol w:w="869"/>
        <w:gridCol w:w="1020"/>
        <w:gridCol w:w="915"/>
        <w:gridCol w:w="8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детей – 18</w:t>
            </w:r>
          </w:p>
        </w:tc>
        <w:tc>
          <w:tcPr>
            <w:tcW w:w="1876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Высокий уровень</w:t>
            </w:r>
          </w:p>
        </w:tc>
        <w:tc>
          <w:tcPr>
            <w:tcW w:w="1889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Средний уровень</w:t>
            </w:r>
          </w:p>
        </w:tc>
        <w:tc>
          <w:tcPr>
            <w:tcW w:w="175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Низкий уровень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Вывод: </w:t>
            </w:r>
          </w:p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Качество:    100 %</w:t>
            </w:r>
          </w:p>
        </w:tc>
        <w:tc>
          <w:tcPr>
            <w:tcW w:w="884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02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1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9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2.Промежуточные результаты во второй младшей группе</w:t>
      </w: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Мониторинг целевых ориентиров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50"/>
        <w:gridCol w:w="884"/>
        <w:gridCol w:w="841"/>
        <w:gridCol w:w="990"/>
        <w:gridCol w:w="1080"/>
        <w:gridCol w:w="915"/>
        <w:gridCol w:w="82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Всего детей - 18</w:t>
            </w:r>
          </w:p>
        </w:tc>
        <w:tc>
          <w:tcPr>
            <w:tcW w:w="172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070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740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Вывод:      </w:t>
            </w:r>
          </w:p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Качество:      83 %</w:t>
            </w:r>
          </w:p>
        </w:tc>
        <w:tc>
          <w:tcPr>
            <w:tcW w:w="884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841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08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1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82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9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</w:tbl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Мониторинг образовательного процесса</w:t>
      </w:r>
    </w:p>
    <w:tbl>
      <w:tblPr>
        <w:tblStyle w:val="7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5"/>
        <w:gridCol w:w="869"/>
        <w:gridCol w:w="796"/>
        <w:gridCol w:w="1035"/>
        <w:gridCol w:w="1050"/>
        <w:gridCol w:w="915"/>
        <w:gridCol w:w="855"/>
      </w:tblGrid>
      <w:tr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Всего детей - 18</w:t>
            </w:r>
          </w:p>
        </w:tc>
        <w:tc>
          <w:tcPr>
            <w:tcW w:w="166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08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770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Вывод:</w:t>
            </w:r>
          </w:p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Качество:     83%</w:t>
            </w:r>
          </w:p>
        </w:tc>
        <w:tc>
          <w:tcPr>
            <w:tcW w:w="8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</w:t>
            </w:r>
          </w:p>
        </w:tc>
        <w:tc>
          <w:tcPr>
            <w:tcW w:w="79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0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05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1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85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96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0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</w:tbl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3.Промежуточные результаты в средней группе</w:t>
      </w: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Мониторинг целевых ориентиров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5"/>
        <w:gridCol w:w="1011"/>
        <w:gridCol w:w="1134"/>
        <w:gridCol w:w="850"/>
        <w:gridCol w:w="992"/>
        <w:gridCol w:w="851"/>
        <w:gridCol w:w="952"/>
      </w:tblGrid>
      <w:tr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Всего детей - 18</w:t>
            </w:r>
          </w:p>
        </w:tc>
        <w:tc>
          <w:tcPr>
            <w:tcW w:w="214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 уровень</w:t>
            </w:r>
          </w:p>
        </w:tc>
        <w:tc>
          <w:tcPr>
            <w:tcW w:w="1842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  уровень</w:t>
            </w:r>
          </w:p>
        </w:tc>
        <w:tc>
          <w:tcPr>
            <w:tcW w:w="1803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Вывод: </w:t>
            </w:r>
          </w:p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Качество:  100%</w:t>
            </w:r>
          </w:p>
        </w:tc>
        <w:tc>
          <w:tcPr>
            <w:tcW w:w="1011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992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952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ind w:firstLine="709"/>
        <w:jc w:val="both"/>
        <w:rPr>
          <w:rFonts w:ascii="Times New Roman" w:hAnsi="Times New Roman"/>
        </w:rPr>
      </w:pPr>
    </w:p>
    <w:p>
      <w:pPr>
        <w:ind w:firstLine="709"/>
        <w:jc w:val="both"/>
        <w:rPr>
          <w:rFonts w:ascii="Times New Roman" w:hAnsi="Times New Roman"/>
        </w:rPr>
      </w:pPr>
    </w:p>
    <w:p>
      <w:pPr>
        <w:ind w:firstLine="709"/>
        <w:jc w:val="both"/>
        <w:rPr>
          <w:rFonts w:ascii="Times New Roman" w:hAnsi="Times New Roman"/>
        </w:rPr>
      </w:pPr>
    </w:p>
    <w:p>
      <w:pPr>
        <w:ind w:firstLine="709"/>
        <w:jc w:val="both"/>
        <w:rPr>
          <w:rFonts w:ascii="Times New Roman" w:hAnsi="Times New Roman"/>
        </w:rPr>
      </w:pP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Мониторинг образовательного процесса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5"/>
        <w:gridCol w:w="765"/>
        <w:gridCol w:w="1020"/>
        <w:gridCol w:w="945"/>
        <w:gridCol w:w="1035"/>
        <w:gridCol w:w="945"/>
        <w:gridCol w:w="91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детей - 18</w:t>
            </w:r>
          </w:p>
        </w:tc>
        <w:tc>
          <w:tcPr>
            <w:tcW w:w="178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1980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860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Вывод:</w:t>
            </w:r>
          </w:p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Качество: 98 %</w:t>
            </w:r>
          </w:p>
        </w:tc>
        <w:tc>
          <w:tcPr>
            <w:tcW w:w="76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0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03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4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91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9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94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>
      <w:pPr>
        <w:ind w:firstLine="709"/>
        <w:jc w:val="both"/>
        <w:rPr>
          <w:rFonts w:ascii="Times New Roman" w:hAnsi="Times New Roman"/>
          <w:b/>
        </w:rPr>
      </w:pP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4.Промежуточные результаты в старшей группе</w:t>
      </w: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Мониторинг целевых ориентиров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5"/>
        <w:gridCol w:w="1011"/>
        <w:gridCol w:w="804"/>
        <w:gridCol w:w="1035"/>
        <w:gridCol w:w="1050"/>
        <w:gridCol w:w="915"/>
        <w:gridCol w:w="85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детей -14</w:t>
            </w:r>
          </w:p>
        </w:tc>
        <w:tc>
          <w:tcPr>
            <w:tcW w:w="181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08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770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Вывод: </w:t>
            </w:r>
          </w:p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Качество:  100 %</w:t>
            </w:r>
          </w:p>
        </w:tc>
        <w:tc>
          <w:tcPr>
            <w:tcW w:w="1011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804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0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05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1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85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10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9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Мониторинг образовательного процесса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5"/>
        <w:gridCol w:w="765"/>
        <w:gridCol w:w="1050"/>
        <w:gridCol w:w="1035"/>
        <w:gridCol w:w="1050"/>
        <w:gridCol w:w="915"/>
        <w:gridCol w:w="85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Всего детей - 14</w:t>
            </w:r>
          </w:p>
        </w:tc>
        <w:tc>
          <w:tcPr>
            <w:tcW w:w="181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08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770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Вывод: </w:t>
            </w:r>
          </w:p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Качество: 100%</w:t>
            </w:r>
          </w:p>
        </w:tc>
        <w:tc>
          <w:tcPr>
            <w:tcW w:w="76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0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0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05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1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85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10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9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Промежуточные результаты в подготовительной группе</w:t>
      </w: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Мониторинг целевых ориентиров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5"/>
        <w:gridCol w:w="765"/>
        <w:gridCol w:w="1050"/>
        <w:gridCol w:w="1050"/>
        <w:gridCol w:w="1035"/>
        <w:gridCol w:w="915"/>
        <w:gridCol w:w="855"/>
      </w:tblGrid>
      <w:tr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детей - 14</w:t>
            </w:r>
          </w:p>
        </w:tc>
        <w:tc>
          <w:tcPr>
            <w:tcW w:w="181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08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770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Вывод:</w:t>
            </w:r>
          </w:p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Качество: 100%</w:t>
            </w:r>
          </w:p>
        </w:tc>
        <w:tc>
          <w:tcPr>
            <w:tcW w:w="76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0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0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02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1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10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Мониторинг образовательного процесса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5"/>
        <w:gridCol w:w="765"/>
        <w:gridCol w:w="1050"/>
        <w:gridCol w:w="1035"/>
        <w:gridCol w:w="1050"/>
        <w:gridCol w:w="915"/>
        <w:gridCol w:w="85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детей - 14</w:t>
            </w:r>
          </w:p>
        </w:tc>
        <w:tc>
          <w:tcPr>
            <w:tcW w:w="181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08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770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Вывод:</w:t>
            </w:r>
          </w:p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Качество:  92%</w:t>
            </w:r>
          </w:p>
        </w:tc>
        <w:tc>
          <w:tcPr>
            <w:tcW w:w="76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0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0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05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1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85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0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5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91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</w:tbl>
    <w:p>
      <w:pPr>
        <w:ind w:firstLine="709"/>
        <w:jc w:val="center"/>
        <w:rPr>
          <w:rFonts w:ascii="Times New Roman" w:hAnsi="Times New Roman"/>
          <w:b/>
        </w:rPr>
      </w:pPr>
    </w:p>
    <w:p>
      <w:pPr>
        <w:ind w:firstLine="709"/>
        <w:jc w:val="center"/>
        <w:rPr>
          <w:rFonts w:ascii="Times New Roman" w:hAnsi="Times New Roman"/>
          <w:b/>
        </w:rPr>
      </w:pPr>
    </w:p>
    <w:p>
      <w:pPr>
        <w:ind w:firstLine="709"/>
        <w:jc w:val="center"/>
        <w:rPr>
          <w:rFonts w:ascii="Times New Roman" w:hAnsi="Times New Roman"/>
          <w:b/>
        </w:rPr>
      </w:pPr>
    </w:p>
    <w:p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ИТОГО по ДОУ:</w:t>
      </w:r>
    </w:p>
    <w:p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Мониторинг целевых ориентиров</w:t>
      </w:r>
    </w:p>
    <w:tbl>
      <w:tblPr>
        <w:tblStyle w:val="7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00"/>
        <w:gridCol w:w="840"/>
        <w:gridCol w:w="990"/>
        <w:gridCol w:w="870"/>
        <w:gridCol w:w="120"/>
        <w:gridCol w:w="990"/>
        <w:gridCol w:w="930"/>
        <w:gridCol w:w="108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детей - 82</w:t>
            </w:r>
          </w:p>
        </w:tc>
        <w:tc>
          <w:tcPr>
            <w:tcW w:w="1830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1980" w:type="dxa"/>
            <w:gridSpan w:val="3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980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Вывод:</w:t>
            </w:r>
          </w:p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Качество:  97%</w:t>
            </w:r>
          </w:p>
        </w:tc>
        <w:tc>
          <w:tcPr>
            <w:tcW w:w="8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9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09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03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20" w:type="dxa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9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87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20" w:type="dxa"/>
            <w:gridSpan w:val="8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Мониторинг образовательного процесса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детей - 82</w:t>
            </w:r>
          </w:p>
        </w:tc>
        <w:tc>
          <w:tcPr>
            <w:tcW w:w="1830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1980" w:type="dxa"/>
            <w:gridSpan w:val="3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980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Вывод:</w:t>
            </w:r>
          </w:p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Качество: 95%</w:t>
            </w:r>
          </w:p>
        </w:tc>
        <w:tc>
          <w:tcPr>
            <w:tcW w:w="8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9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99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Чел.</w:t>
            </w:r>
          </w:p>
        </w:tc>
        <w:tc>
          <w:tcPr>
            <w:tcW w:w="103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20" w:type="dxa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9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99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930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35" w:type="dxa"/>
            <w:tcBorders>
              <w:top w:val="nil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drawing>
          <wp:inline distT="0" distB="0" distL="0" distR="0">
            <wp:extent cx="2743200" cy="1828800"/>
            <wp:effectExtent l="19050" t="0" r="0" b="0"/>
            <wp:docPr id="6" name="Рисунок 1" descr="C:\Users\4BAE~1.2\AppData\Local\Temp\ksohtml9400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 descr="C:\Users\4BAE~1.2\AppData\Local\Temp\ksohtml9400\wps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lang w:eastAsia="ru-RU"/>
        </w:rPr>
        <w:drawing>
          <wp:inline distT="0" distB="0" distL="0" distR="0">
            <wp:extent cx="2743200" cy="1828800"/>
            <wp:effectExtent l="19050" t="0" r="0" b="0"/>
            <wp:docPr id="5" name="Рисунок 2" descr="C:\Users\4BAE~1.2\AppData\Local\Temp\ksohtml9400\wp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 descr="C:\Users\4BAE~1.2\AppData\Local\Temp\ksohtml9400\wps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Мониторинг целевых ориентиров          Мониторинг образовательного процесса</w:t>
      </w: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конец  2022-2023 уч. года                     на  конец 2022-2023 уч. года  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Рис. 1. Результаты педагогической диагностики на конец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2022-2023 уч. года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eastAsia="ru-RU"/>
        </w:rPr>
        <w:drawing>
          <wp:inline distT="0" distB="0" distL="0" distR="0">
            <wp:extent cx="3924300" cy="1955165"/>
            <wp:effectExtent l="19050" t="0" r="0" b="0"/>
            <wp:docPr id="4" name="Рисунок 3" descr="C:\Users\4BAE~1.2\AppData\Local\Temp\ksohtml9400\wp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4BAE~1.2\AppData\Local\Temp\ksohtml9400\wps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Рис. 2. Качество освоения основной программы на начало  2022-2023 уч.г.</w:t>
      </w: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Музыкальное развитие на конец  2022-23 учебного года :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Наблюдение за детьми на музыкальных занятиях и индивидуально, а также выполнение специально подобранных заданий. 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уровня музыкальных способностей: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 – оптимальный уровень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2 -  высокий уровень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 – средний уровень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 – низкий уровень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диагностическом исследовании всего приняли участие 74 ребенка, из них: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Первая младшая группа- 18 детей 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Вторая младшая группа – 19детей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Средняя группа – 18 детей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Старшая группа – 14 детей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Подготовительная группа – 14 детей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85"/>
        <w:gridCol w:w="1725"/>
        <w:gridCol w:w="1710"/>
        <w:gridCol w:w="163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Группы</w:t>
            </w:r>
          </w:p>
        </w:tc>
        <w:tc>
          <w:tcPr>
            <w:tcW w:w="1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Высокий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Средний</w:t>
            </w:r>
          </w:p>
        </w:tc>
        <w:tc>
          <w:tcPr>
            <w:tcW w:w="16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Низкий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Первая младшая </w:t>
            </w:r>
          </w:p>
        </w:tc>
        <w:tc>
          <w:tcPr>
            <w:tcW w:w="172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22,4%</w:t>
            </w:r>
          </w:p>
        </w:tc>
        <w:tc>
          <w:tcPr>
            <w:tcW w:w="171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66,4%</w:t>
            </w:r>
          </w:p>
        </w:tc>
        <w:tc>
          <w:tcPr>
            <w:tcW w:w="16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Вторая младшая</w:t>
            </w:r>
          </w:p>
        </w:tc>
        <w:tc>
          <w:tcPr>
            <w:tcW w:w="172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37,1%</w:t>
            </w:r>
          </w:p>
        </w:tc>
        <w:tc>
          <w:tcPr>
            <w:tcW w:w="171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41,7%</w:t>
            </w:r>
          </w:p>
        </w:tc>
        <w:tc>
          <w:tcPr>
            <w:tcW w:w="16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</w:t>
            </w:r>
          </w:p>
        </w:tc>
        <w:tc>
          <w:tcPr>
            <w:tcW w:w="172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61,6%</w:t>
            </w:r>
          </w:p>
        </w:tc>
        <w:tc>
          <w:tcPr>
            <w:tcW w:w="171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27,2%</w:t>
            </w:r>
          </w:p>
        </w:tc>
        <w:tc>
          <w:tcPr>
            <w:tcW w:w="16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</w:t>
            </w:r>
          </w:p>
        </w:tc>
        <w:tc>
          <w:tcPr>
            <w:tcW w:w="172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35,5%</w:t>
            </w:r>
          </w:p>
        </w:tc>
        <w:tc>
          <w:tcPr>
            <w:tcW w:w="171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64,5%</w:t>
            </w:r>
          </w:p>
        </w:tc>
        <w:tc>
          <w:tcPr>
            <w:tcW w:w="16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</w:t>
            </w:r>
          </w:p>
        </w:tc>
        <w:tc>
          <w:tcPr>
            <w:tcW w:w="172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56,8%</w:t>
            </w:r>
          </w:p>
        </w:tc>
        <w:tc>
          <w:tcPr>
            <w:tcW w:w="171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36,1%</w:t>
            </w:r>
          </w:p>
        </w:tc>
        <w:tc>
          <w:tcPr>
            <w:tcW w:w="16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ДОУ</w:t>
            </w:r>
          </w:p>
        </w:tc>
        <w:tc>
          <w:tcPr>
            <w:tcW w:w="172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42%</w:t>
            </w:r>
          </w:p>
        </w:tc>
        <w:tc>
          <w:tcPr>
            <w:tcW w:w="171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47%</w:t>
            </w:r>
          </w:p>
        </w:tc>
        <w:tc>
          <w:tcPr>
            <w:tcW w:w="16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11%</w:t>
            </w:r>
          </w:p>
        </w:tc>
      </w:tr>
    </w:tbl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 диагностики уровня усвоения программного материала детьми по татарскому языку в МБДОУ   «Тимяшевский детский сад - Ласточка»</w:t>
      </w:r>
    </w:p>
    <w:p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конец  2022 - 2023 учебного  года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Субъект мониторинга:  дети средней группы-  18 , старшей группы  - (15 чел.), подготовительной  к школе группы  - (14  чел.)  , обучающиеся по программе УМК «Говорим по – татарски».</w:t>
      </w:r>
    </w:p>
    <w:tbl>
      <w:tblPr>
        <w:tblStyle w:val="23"/>
        <w:tblW w:w="96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60"/>
        <w:gridCol w:w="889"/>
        <w:gridCol w:w="830"/>
        <w:gridCol w:w="678"/>
        <w:gridCol w:w="815"/>
        <w:gridCol w:w="823"/>
        <w:gridCol w:w="816"/>
        <w:gridCol w:w="764"/>
        <w:gridCol w:w="828"/>
        <w:gridCol w:w="1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6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Группы</w:t>
            </w:r>
          </w:p>
        </w:tc>
        <w:tc>
          <w:tcPr>
            <w:tcW w:w="88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 – во детей</w:t>
            </w:r>
          </w:p>
        </w:tc>
        <w:tc>
          <w:tcPr>
            <w:tcW w:w="150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высоким уровнем</w:t>
            </w:r>
          </w:p>
        </w:tc>
        <w:tc>
          <w:tcPr>
            <w:tcW w:w="163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 средним уровнем</w:t>
            </w:r>
          </w:p>
        </w:tc>
        <w:tc>
          <w:tcPr>
            <w:tcW w:w="15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низким уровнем</w:t>
            </w:r>
          </w:p>
        </w:tc>
        <w:tc>
          <w:tcPr>
            <w:tcW w:w="187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освоения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6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200" w:line="276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200" w:line="276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 -во</w:t>
            </w:r>
          </w:p>
        </w:tc>
        <w:tc>
          <w:tcPr>
            <w:tcW w:w="67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 -во</w:t>
            </w:r>
          </w:p>
        </w:tc>
        <w:tc>
          <w:tcPr>
            <w:tcW w:w="82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 -во</w:t>
            </w:r>
          </w:p>
        </w:tc>
        <w:tc>
          <w:tcPr>
            <w:tcW w:w="7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 -во</w:t>
            </w:r>
          </w:p>
        </w:tc>
        <w:tc>
          <w:tcPr>
            <w:tcW w:w="10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Средняя группа </w:t>
            </w:r>
          </w:p>
        </w:tc>
        <w:tc>
          <w:tcPr>
            <w:tcW w:w="88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7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2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81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6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0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группа</w:t>
            </w:r>
          </w:p>
        </w:tc>
        <w:tc>
          <w:tcPr>
            <w:tcW w:w="88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7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2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81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6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0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 к школе группа</w:t>
            </w:r>
          </w:p>
        </w:tc>
        <w:tc>
          <w:tcPr>
            <w:tcW w:w="88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7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8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2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81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6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0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1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Итог:</w:t>
            </w:r>
          </w:p>
          <w:p>
            <w:pPr>
              <w:spacing w:after="200" w:line="276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88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8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7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82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1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6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0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Таким образом, результаты педагогической диагностики уровня развития детей всех возрастных групп за второе   полугодие показали в высокий   уровень. Наиболее высокие результаты у детей средней и старшей групп - воспитатели Каргина Г.П, Сергеева Р.А.-средняя группа, Валиева Г.М.,Рахимзянова Г.Р.-старшая группа. Высокий уровень усвоения высокий и во второй младшей группе( Касаева А.Ю.,Ялалова З.Р.), . По одному ребенку из средней и подготовительной групп также имеют низкий уровень усвоения детьми программы. 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Результаты мониторинга освоения программного материала за второе    полугодие по всем группам: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Высокий уровень: - 38 детей - 47%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Средний уровень: 39 детей –48%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Низкий уровень: 5 детей - 5%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Анализ мониторинга целевых ориентиров показал, что уровень достижения воспитанниками ДОУ целевых ориентиров в основном высокий (результаты представлены в таблицах).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Результаты мониторинга детского развития: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Высокий уровень – 49детей - 61%;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Средний уровень: 30 детей –36%.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Низкий уровень:  3 ребенка - 3 %.</w:t>
      </w:r>
      <w:r>
        <w:rPr>
          <w:rFonts w:ascii="Times New Roman" w:hAnsi="Times New Roman"/>
        </w:rPr>
        <w:tab/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Воспитателям всех возрастных  групп необходимо вести целенаправленную работу по достижению  воспитанниками высоких целевых ориентиров в соответствии с возрастными особенностями и над повышением образовательного уровня воспитанников данного возраста.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Таким образом, итоги данной педагогической диагностики помогут педагогам определить дифференцированный подход к каждому ребёнку, в подборе форм организации, методов и приёмов воспитания и развития., разработать индивидуальный маршрут работы с детьми ,усвоившими программу на низком уровне. </w:t>
      </w:r>
    </w:p>
    <w:p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Вывод: 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1.Результаты педагогической диагностики уровня развития детей по образовательным областям и целевым ориентирам за второе  полугодие являются удовлетворительным: 77 и 79 детей соответственно имеют высокий и средний уровень освоения.  </w:t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Обозначить качество освоения основной образовательной программы ДОУ на конец  учебного года - 95%.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Состояние воспитательной работы</w:t>
      </w:r>
    </w:p>
    <w:p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 w:eastAsia="Calibri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родителей, ориентирована</w:t>
      </w:r>
      <w:r>
        <w:rPr>
          <w:rFonts w:ascii="Times New Roman" w:hAnsi="Times New Roman"/>
          <w:sz w:val="24"/>
          <w:szCs w:val="24"/>
          <w:lang w:eastAsia="ar-SA"/>
        </w:rPr>
        <w:t xml:space="preserve"> на самореализацию личности дошкольника и педагога.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Приоритетным вопросом в воспитании детей всех возрастных групп и деятельности дошкольного учреждения является физическое воспитание. Оптимальные результаты достигаются правильной организацией режима дня, двигательного, санитарно-гигиенического режимов, всех форм работы с детьми и других факторов.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установлена в следующих пределах: младший дошкольный возраст – до 3-4 часов, старший дошкольный возраст – до 4-5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деятельности. Особое значение придается также овладению детьми системой доступных знаний о соблюдении здорового образа жизни, основ безопасности жизнедеятельности. Вся работа по физическому воспитанию осуществляться с учетом состояния здоровья, самочувствия, уровня физического развития и подготовленности детей, семейного воспитания под постоянным медико-педагогическим контролем.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Calibri"/>
          <w:lang w:val="tt-RU"/>
        </w:rPr>
      </w:pPr>
      <w:r>
        <w:rPr>
          <w:rFonts w:ascii="Times New Roman" w:hAnsi="Times New Roman" w:eastAsia="Calibri"/>
        </w:rPr>
        <w:t xml:space="preserve">Систематический мониторинг здоровья воспитанников, который организуется педагогами и старшей медицинской сестрой, позволил отследить общий уровень посещаемости, заболеваемости, индекс здоровья. </w:t>
      </w:r>
    </w:p>
    <w:p>
      <w:pPr>
        <w:jc w:val="center"/>
        <w:rPr>
          <w:rFonts w:ascii="Times New Roman" w:hAnsi="Times New Roman"/>
          <w:b/>
          <w:iCs/>
          <w:sz w:val="24"/>
          <w:szCs w:val="24"/>
          <w:lang w:val="tt-RU"/>
        </w:rPr>
      </w:pPr>
      <w:r>
        <w:rPr>
          <w:rFonts w:ascii="Times New Roman" w:hAnsi="Times New Roman"/>
          <w:b/>
          <w:iCs/>
          <w:sz w:val="24"/>
          <w:szCs w:val="24"/>
          <w:lang w:val="tt-RU"/>
        </w:rPr>
        <w:t>Проведение контроля в 2023 году</w:t>
      </w:r>
    </w:p>
    <w:tbl>
      <w:tblPr>
        <w:tblStyle w:val="60"/>
        <w:tblW w:w="9832" w:type="dxa"/>
        <w:tblInd w:w="5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4"/>
        <w:gridCol w:w="1583"/>
        <w:gridCol w:w="284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auto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 xml:space="preserve">Тематический контроль : </w:t>
            </w:r>
          </w:p>
          <w:p>
            <w:pPr>
              <w:spacing w:after="0" w:line="36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cstheme="minorBidi"/>
                <w:b/>
                <w:sz w:val="24"/>
                <w:szCs w:val="24"/>
                <w:lang w:eastAsia="ru-RU"/>
              </w:rPr>
              <w:t>-«</w:t>
            </w:r>
            <w:r>
              <w:rPr>
                <w:rFonts w:ascii="Times New Roman" w:hAnsi="Times New Roman" w:eastAsia="Calibri"/>
              </w:rPr>
              <w:t xml:space="preserve">Эффективность воспитательно-образовательной работы по организации экологической деятельности (все группы) </w:t>
            </w:r>
          </w:p>
          <w:p>
            <w:pPr>
              <w:spacing w:after="0" w:line="36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- состояние воспитательно-образовательной работы по обучению детей татарскому языку</w:t>
            </w:r>
          </w:p>
          <w:p>
            <w:pPr>
              <w:spacing w:after="0" w:line="360" w:lineRule="auto"/>
              <w:rPr>
                <w:rFonts w:ascii="Times New Roman" w:hAnsi="Times New Roman" w:eastAsia="Calibri"/>
                <w:color w:val="000000"/>
              </w:rPr>
            </w:pPr>
            <w:r>
              <w:rPr>
                <w:rFonts w:ascii="Times New Roman" w:hAnsi="Times New Roman" w:eastAsia="Calibri"/>
                <w:b/>
              </w:rPr>
              <w:t>-</w:t>
            </w:r>
            <w:r>
              <w:rPr>
                <w:rFonts w:ascii="Times New Roman" w:hAnsi="Times New Roman" w:eastAsia="Calibri"/>
                <w:color w:val="000000"/>
              </w:rPr>
              <w:t>«Организация работы ДОУ по предупреждению детского дорожно-транспортного травматизма».</w:t>
            </w:r>
          </w:p>
          <w:p>
            <w:pPr>
              <w:tabs>
                <w:tab w:val="left" w:pos="764"/>
              </w:tabs>
              <w:spacing w:after="0"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val="tt-RU" w:eastAsia="ru-RU"/>
              </w:rPr>
            </w:pPr>
            <w:r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val="tt-RU" w:eastAsia="ru-RU"/>
              </w:rPr>
              <w:t xml:space="preserve">Диагностика готовности выпускников к школе </w:t>
            </w:r>
          </w:p>
          <w:p>
            <w:pPr>
              <w:spacing w:after="0"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</w:p>
          <w:p>
            <w:pPr>
              <w:spacing w:after="0" w:line="240" w:lineRule="auto"/>
              <w:contextualSpacing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</w:p>
          <w:p>
            <w:pPr>
              <w:spacing w:after="0" w:line="240" w:lineRule="auto"/>
              <w:contextualSpacing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</w:p>
          <w:p>
            <w:pPr>
              <w:spacing w:after="0" w:line="240" w:lineRule="auto"/>
              <w:contextualSpacing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</w:p>
          <w:p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 xml:space="preserve"> Тематическая проверка: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 w:eastAsia="Calibri"/>
                <w:color w:val="000000"/>
              </w:rPr>
              <w:t>Организация работы по патриотическому воспитанию детей дошкольного возраста»</w:t>
            </w:r>
          </w:p>
          <w:p>
            <w:pPr>
              <w:tabs>
                <w:tab w:val="left" w:pos="764"/>
              </w:tabs>
              <w:spacing w:after="0" w:line="0" w:lineRule="atLeast"/>
              <w:ind w:left="57" w:right="57" w:hanging="42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tabs>
                <w:tab w:val="left" w:pos="764"/>
              </w:tabs>
              <w:spacing w:after="0"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</w:p>
          <w:p>
            <w:pPr>
              <w:tabs>
                <w:tab w:val="left" w:pos="764"/>
              </w:tabs>
              <w:spacing w:after="0"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</w:p>
          <w:p>
            <w:pPr>
              <w:tabs>
                <w:tab w:val="left" w:pos="764"/>
              </w:tabs>
              <w:spacing w:after="0"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lang w:val="tt-RU" w:eastAsia="ru-RU"/>
              </w:rPr>
            </w:pPr>
          </w:p>
          <w:p>
            <w:pPr>
              <w:tabs>
                <w:tab w:val="left" w:pos="764"/>
              </w:tabs>
              <w:spacing w:after="0"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lang w:val="tt-RU" w:eastAsia="ru-RU"/>
              </w:rPr>
            </w:pPr>
          </w:p>
          <w:p>
            <w:pPr>
              <w:tabs>
                <w:tab w:val="left" w:pos="764"/>
              </w:tabs>
              <w:spacing w:after="0" w:line="0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>Оперативный</w:t>
            </w:r>
            <w:r>
              <w:rPr>
                <w:rFonts w:ascii="Times New Roman" w:hAnsi="Times New Roman" w:cstheme="minorBidi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(цель: выявление состояния работы педагогического коллектива и отдельных воспитателей на определенном этапе работы)</w:t>
            </w:r>
          </w:p>
          <w:p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Подготовка групп и ДОУ в целом к новому учебному году.</w:t>
            </w:r>
          </w:p>
          <w:p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Контроль за созданием благоприятных адаптивных условий в группе № 1.</w:t>
            </w:r>
          </w:p>
          <w:p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Состояние физкультурно-оздоровительной работы в ДОУ.</w:t>
            </w:r>
          </w:p>
          <w:p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Контроль за подготовкой ДОУ к осеннее - зимнему периоду</w:t>
            </w:r>
          </w:p>
          <w:p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Контроль по реализации приоритетного направления работы в ДОУ (художественно-эстетическое развитие и физическое развитие)</w:t>
            </w:r>
          </w:p>
          <w:p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Контроль за организацией прогулок в осенне-зимний период.</w:t>
            </w:r>
          </w:p>
          <w:p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Соблюдение должностных обязанностей, правил техники безопасности, правил пожарной безопасности, инструкций по охране труда</w:t>
            </w:r>
          </w:p>
          <w:p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Соблюдение гигиенических и педагогических норм</w:t>
            </w:r>
          </w:p>
          <w:p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Контроль за соблюдением режима дня, графика проведения ОД</w:t>
            </w:r>
          </w:p>
          <w:p>
            <w:pPr>
              <w:spacing w:after="0" w:line="0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0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>предупредительный</w:t>
            </w:r>
            <w:r>
              <w:rPr>
                <w:rFonts w:ascii="Times New Roman" w:hAnsi="Times New Roman" w:cstheme="minorBidi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 (цель: предупреждение того или иного недостатка в работе, профилактика возможных нарушений, отбор наиболее рациональных методов работы)</w:t>
            </w:r>
          </w:p>
          <w:p>
            <w:pPr>
              <w:spacing w:after="0"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</w:p>
          <w:p>
            <w:pPr>
              <w:spacing w:after="0" w:line="0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 xml:space="preserve">взаимоконтроль </w:t>
            </w: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 (цель: оценка педагогического процесса, осуществляемая воспитателями в ДОУ)</w:t>
            </w:r>
          </w:p>
          <w:p>
            <w:pPr>
              <w:tabs>
                <w:tab w:val="left" w:pos="720"/>
              </w:tabs>
              <w:spacing w:after="0" w:line="0" w:lineRule="atLeast"/>
              <w:ind w:left="57" w:right="57" w:hanging="360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Symbol" w:hAnsi="Symbol" w:eastAsia="Symbol" w:cs="Symbol"/>
                <w:sz w:val="24"/>
                <w:szCs w:val="24"/>
                <w:lang w:eastAsia="ru-RU"/>
              </w:rPr>
              <w:t></w:t>
            </w:r>
            <w:r>
              <w:rPr>
                <w:rFonts w:ascii="Times New Roman" w:hAnsi="Times New Roman" w:eastAsia="Symbol" w:cstheme="minorBidi"/>
                <w:sz w:val="24"/>
                <w:szCs w:val="24"/>
                <w:lang w:eastAsia="ru-RU"/>
              </w:rPr>
              <w:t>  взаимо</w:t>
            </w: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посещение занятий</w:t>
            </w:r>
          </w:p>
          <w:p>
            <w:pPr>
              <w:spacing w:after="0"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</w:p>
          <w:p>
            <w:pPr>
              <w:spacing w:after="0" w:line="0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 xml:space="preserve">самоанализ </w:t>
            </w: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(цель: повышение качества образовательного процесса посредством умения педагога находить недостатки в своей работе и способы их преодоления)</w:t>
            </w:r>
          </w:p>
          <w:p>
            <w:pPr>
              <w:tabs>
                <w:tab w:val="left" w:pos="720"/>
              </w:tabs>
              <w:spacing w:after="0" w:line="163" w:lineRule="atLeast"/>
              <w:ind w:left="57" w:right="57" w:hanging="360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Январь -май</w:t>
            </w: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 В течение года</w:t>
            </w: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апрель</w:t>
            </w: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ноябрь</w:t>
            </w: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в течение </w:t>
            </w: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года</w:t>
            </w: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в течение года</w:t>
            </w: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Ноябрь- декабрь</w:t>
            </w:r>
          </w:p>
        </w:tc>
        <w:tc>
          <w:tcPr>
            <w:tcW w:w="28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Ст.воспитатель</w:t>
            </w: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Хасанова Г.И.</w:t>
            </w: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Воспитатель </w:t>
            </w: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Валиева Г.М. </w:t>
            </w: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Ст.воспитатель Хасанова Г.И.</w:t>
            </w: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Воспитатели подготовительной группы</w:t>
            </w: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Старший воспитатель </w:t>
            </w: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Николаева С.Г,  воспитатель Хайруллина Р.Р</w:t>
            </w: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Ст.воспитатель Хасанова Г.И.</w:t>
            </w: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Воспитатель Сергеева Р.А.</w:t>
            </w: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Педагоги ДОУ</w:t>
            </w: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Педагоги ДОУ</w:t>
            </w: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Педагоги ДОУ</w:t>
            </w: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Педагоги ДОУ</w:t>
            </w: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Педагоги ДОУ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0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Планирование контроля ДОУ</w:t>
            </w:r>
          </w:p>
          <w:p>
            <w:pPr>
              <w:spacing w:after="0" w:line="0" w:lineRule="atLeast"/>
              <w:ind w:left="57"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>(по направлениям работы) :</w:t>
            </w:r>
          </w:p>
          <w:p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Контроль методической работы и образовательного процесса.</w:t>
            </w:r>
          </w:p>
          <w:p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Контроль за кадрами.</w:t>
            </w:r>
          </w:p>
          <w:p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Административный контроль питания.</w:t>
            </w:r>
          </w:p>
          <w:p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163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Контроль состояния материально – технической базы ДОУ</w:t>
            </w:r>
          </w:p>
        </w:tc>
        <w:tc>
          <w:tcPr>
            <w:tcW w:w="1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0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0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0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0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Заведующий </w:t>
            </w: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Старшая медсестра</w:t>
            </w:r>
          </w:p>
          <w:p>
            <w:pPr>
              <w:spacing w:after="0"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Завхоз</w:t>
            </w:r>
          </w:p>
        </w:tc>
      </w:tr>
    </w:tbl>
    <w:p>
      <w:pPr>
        <w:jc w:val="center"/>
        <w:rPr>
          <w:rFonts w:ascii="Times New Roman" w:hAnsi="Times New Roman" w:eastAsia="Calibri"/>
          <w:b/>
          <w:i/>
        </w:rPr>
      </w:pPr>
    </w:p>
    <w:p>
      <w:pPr>
        <w:jc w:val="center"/>
        <w:rPr>
          <w:rFonts w:ascii="Times New Roman" w:hAnsi="Times New Roman" w:eastAsia="Calibri"/>
          <w:b/>
          <w:i/>
        </w:rPr>
      </w:pPr>
    </w:p>
    <w:p>
      <w:pPr>
        <w:jc w:val="center"/>
        <w:rPr>
          <w:rFonts w:ascii="Times New Roman" w:hAnsi="Times New Roman" w:eastAsia="Calibri"/>
          <w:b/>
          <w:i/>
        </w:rPr>
      </w:pPr>
      <w:r>
        <w:rPr>
          <w:rFonts w:ascii="Times New Roman" w:hAnsi="Times New Roman" w:eastAsia="Calibri"/>
          <w:b/>
          <w:i/>
        </w:rPr>
        <w:t>Организационно-педагогическая работа</w:t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/>
        </w:rPr>
        <w:t xml:space="preserve">  </w:t>
      </w:r>
      <w:r>
        <w:rPr>
          <w:rFonts w:ascii="Times New Roman" w:hAnsi="Times New Roman"/>
          <w:sz w:val="24"/>
          <w:szCs w:val="24"/>
        </w:rPr>
        <w:t>В соответствии с планом в 2023 г  были  организованы выставки , смотры-конкурсы:</w:t>
      </w:r>
    </w:p>
    <w:p>
      <w:pPr>
        <w:pStyle w:val="2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Лэпбук, как средство экологического воспитания дошкольников в ДОУ( по экосистемам: тундра-лесотундра, тайга, смешанные и широколиственные леса, лесостепь-степь, полупустыня-пустыня, субтропики)</w:t>
      </w:r>
    </w:p>
    <w:p>
      <w:pPr>
        <w:pStyle w:val="2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фотовыставка «Кем работают наши мамы»</w:t>
      </w:r>
    </w:p>
    <w:p>
      <w:pPr>
        <w:pStyle w:val="2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дидактических игр по УМК</w:t>
      </w:r>
    </w:p>
    <w:p>
      <w:pPr>
        <w:pStyle w:val="2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Семейный творческий конкурс  « История моей семьи- история Родины» ( видеоролики, альбомы, игры, коллажи и пр.)</w:t>
      </w:r>
    </w:p>
    <w:p>
      <w:pPr>
        <w:pStyle w:val="2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Фестиваль  семейных творческих  работ «Осенний вернисаж»</w:t>
      </w:r>
    </w:p>
    <w:p>
      <w:pPr>
        <w:pStyle w:val="2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Смотр- конкурс игровых пособий и методических кукол  «Все профессии нужны, все профессии важны»</w:t>
      </w:r>
    </w:p>
    <w:p>
      <w:pPr>
        <w:pStyle w:val="2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 сюжетных композиций по ПДД  «Куклы едут в детский сад»</w:t>
      </w:r>
    </w:p>
    <w:p>
      <w:pPr>
        <w:pStyle w:val="2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новогоднего оформления приемных «Новый год- волшебный праздник»</w:t>
      </w:r>
    </w:p>
    <w:p>
      <w:pPr>
        <w:pStyle w:val="27"/>
        <w:spacing w:line="360" w:lineRule="auto"/>
        <w:textAlignment w:val="baseline"/>
        <w:rPr>
          <w:rFonts w:ascii="Times New Roman" w:hAnsi="Times New Roman" w:eastAsia="Calibri"/>
          <w:color w:val="000000"/>
        </w:rPr>
      </w:pPr>
    </w:p>
    <w:p>
      <w:pPr>
        <w:spacing w:line="360" w:lineRule="auto"/>
        <w:textAlignment w:val="baseline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 w:eastAsia="Calibri"/>
          <w:color w:val="000000"/>
        </w:rPr>
        <w:t xml:space="preserve"> </w:t>
      </w:r>
      <w:r>
        <w:rPr>
          <w:rFonts w:ascii="Times New Roman" w:hAnsi="Times New Roman"/>
          <w:b/>
          <w:iCs/>
          <w:sz w:val="24"/>
          <w:szCs w:val="24"/>
        </w:rPr>
        <w:t xml:space="preserve">            Оценка учебно-методического, библиотечно-информационного обеспечения</w:t>
      </w:r>
    </w:p>
    <w:p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учреждении созданы условия для  разностороннего развития и оздоровления детей. Имеются помещения, оборудованные всем необходимым для осуществления разных видов образовательной деятельности: музыкальный и физкультурный залы(совмещенные). Предметно-развивающая среда образовательного учреждения отвечает требованиям организации образовательной деятельности в рамках реализации основной образовательной программы учреждения. Образовательный процесс оснащен необходимыми учебно-методическими материалами для полноценной реализации образовательной программы детского сада, наглядными пособиями, игровыми предметами. В помещениях имеется здоровьесберегающее оборудование: оборудование для организации двигательной активности детей – центры двигательной активности.</w:t>
      </w:r>
    </w:p>
    <w:p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Учреждение оснащено современными техническими средствами: компьютерами, принтерами, мультимедийным, интерактивным  оборудованием, музыкальным центром, электронным пианино. Имеется подключение к сети интернет.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Информационное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обеспечение образовательного процесса позволяет: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управлять образовательным процессом;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обеспечивает доступ к электронным методическим материалам в сетях Интернет;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проводить мониторинг и фиксировать ход воспитательно-образовательного процесса и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результаты освоения основной образовательной программы дошкольного образования;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создавать и редактировать электронные таблицы, тексты и презентации;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использовать интерактивные дидактические материалы, образовательные ресурсы;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-осуществлять взаимодействие образовательного учреждения с органами,   осуществляющими управление в сфере образования, с другими образовательными   учреждениями и организациями;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хранение и доставку учебно-методических ресурсов с использованием E-mail;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электронный документооборот и хранение документов;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обеспечивает доступ к ресурсам «Интернет» всем педагогам, сотрудникам и   родителям.</w:t>
      </w:r>
    </w:p>
    <w:p>
      <w:pPr>
        <w:pStyle w:val="28"/>
        <w:ind w:firstLine="708"/>
        <w:jc w:val="both"/>
        <w:rPr>
          <w:color w:val="auto"/>
        </w:rPr>
      </w:pPr>
      <w:r>
        <w:rPr>
          <w:color w:val="auto"/>
        </w:rPr>
        <w:t xml:space="preserve">В соответствии с постановлением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 – телекоммуникативной сети «Интернет» и обновления информации об образовательной организации» и изменений в редакции Постановлений Правительства РФ от 20.10.2015 №1120 и от17.05.2017 №575 в МБДОУ открыт Интернет – сайт, содержащий следующую информацию: 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сведения об образовательной организации (дата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почты);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структуре и об органах управления образовательной организации;</w:t>
      </w:r>
    </w:p>
    <w:p>
      <w:pPr>
        <w:pStyle w:val="28"/>
        <w:jc w:val="both"/>
        <w:rPr>
          <w:color w:val="auto"/>
        </w:rPr>
      </w:pPr>
      <w:r>
        <w:rPr>
          <w:color w:val="auto"/>
        </w:rPr>
        <w:t xml:space="preserve">- о федеральных государственных образовательных стандартах </w:t>
      </w:r>
    </w:p>
    <w:p>
      <w:pPr>
        <w:pStyle w:val="28"/>
        <w:jc w:val="both"/>
        <w:rPr>
          <w:color w:val="auto"/>
        </w:rPr>
      </w:pPr>
      <w:r>
        <w:rPr>
          <w:color w:val="auto"/>
        </w:rPr>
        <w:t xml:space="preserve">- о руководителе образовательной организации и  о персональном составе педагогических работников с указанием уровня образования, квалификации и опыта работы; </w:t>
      </w:r>
    </w:p>
    <w:p>
      <w:pPr>
        <w:pStyle w:val="28"/>
        <w:jc w:val="both"/>
        <w:rPr>
          <w:color w:val="auto"/>
        </w:rPr>
      </w:pPr>
      <w:r>
        <w:rPr>
          <w:color w:val="auto"/>
        </w:rPr>
        <w:t xml:space="preserve">-о материально – техническом обеспечении образовательной деятельности; </w:t>
      </w:r>
    </w:p>
    <w:p>
      <w:pPr>
        <w:pStyle w:val="28"/>
        <w:jc w:val="both"/>
        <w:rPr>
          <w:color w:val="auto"/>
        </w:rPr>
      </w:pPr>
      <w:r>
        <w:rPr>
          <w:color w:val="auto"/>
        </w:rPr>
        <w:t xml:space="preserve">-о количестве вакантных мест и пр. </w:t>
      </w:r>
    </w:p>
    <w:p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Таким образом, анализ работы за 20</w:t>
      </w:r>
      <w:r>
        <w:rPr>
          <w:rFonts w:ascii="Times New Roman" w:hAnsi="Times New Roman"/>
          <w:sz w:val="24"/>
          <w:szCs w:val="24"/>
          <w:lang w:val="tt-RU" w:eastAsia="ru-RU"/>
        </w:rPr>
        <w:t>23</w:t>
      </w:r>
      <w:r>
        <w:rPr>
          <w:rFonts w:ascii="Times New Roman" w:hAnsi="Times New Roman"/>
          <w:sz w:val="24"/>
          <w:szCs w:val="24"/>
          <w:lang w:eastAsia="ru-RU"/>
        </w:rPr>
        <w:t xml:space="preserve"> год показал, что: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В ДОУ воспитательно-образовательный процесс строится в соответствии с годовым планом работы ДОУ.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В ДОУ ведется работа по созданию оптимальных условий, обеспечивающих охрану и укрепление психического и физического здоровья детей, обеспечения детям состояния эмоционального комфорта.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В ДОУ осуществляется работа по активизации деятельности педагогов по внедрению 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инновационных технологий в воспитательно–образовательный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Происходит усовершенствование управления жизнедеятельностью детского сада с 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ориентацией на взаимодействие с родителями и вовлечение их в педагогический процесс для обеспечения полноценного развития ребенка.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Детский сад востребован в социуме; работа педагогического коллектива оценивается, как удовлетворительная.</w:t>
      </w:r>
    </w:p>
    <w:p>
      <w:pPr>
        <w:widowControl w:val="0"/>
        <w:tabs>
          <w:tab w:val="left" w:pos="3990"/>
        </w:tabs>
        <w:suppressAutoHyphens/>
        <w:autoSpaceDE w:val="0"/>
        <w:spacing w:after="0" w:line="240" w:lineRule="auto"/>
        <w:jc w:val="both"/>
        <w:rPr>
          <w:rFonts w:ascii="Times New Roman" w:hAnsi="Times New Roman" w:eastAsia="Calibri"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Перспективы развития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Анализ деятельности учреждения за 202</w:t>
      </w:r>
      <w:r>
        <w:rPr>
          <w:rFonts w:ascii="Times New Roman" w:hAnsi="Times New Roman"/>
          <w:sz w:val="24"/>
          <w:szCs w:val="24"/>
          <w:lang w:val="tt-RU"/>
        </w:rPr>
        <w:t>3</w:t>
      </w:r>
      <w:r>
        <w:rPr>
          <w:rFonts w:ascii="Times New Roman" w:hAnsi="Times New Roman"/>
          <w:sz w:val="24"/>
          <w:szCs w:val="24"/>
        </w:rPr>
        <w:t xml:space="preserve"> год позволяет отметить, что коллектив успешно справился с поставленными задачами. Основными показателями является: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высокий уровень достижения детьми планируемых результатов освоения программы;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-стремление педагогов в повышении профессионализма посредством дополнительного профессионального обучения и самообразования;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-целенаправленная деятельность коллектива  по здоровьесбережению детей, по снижению заболеваемости укреплению и сохранению здоровья детей;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Однако для организации образовательной работы с детьми в условиях введения федерального государственного стандарта в дошкольном образовании необходимо решение следующих задач: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-привлечение специалистов в ДОУ: педагога-психолога, учителя- логопеда; 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-продолжить повышать уровень профессионального образования педагогов по вопросам введения ФГОС ДО в практику работы;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-продолжить оснащение предметно-образовательной среды учреждения на предмет ее соответствия требованиям ФГОС ДО;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продолжить работу по развитию психических процессов (памяти, внимания, мышления, эмоционально- волевой сферой), физических качеств, речи.</w:t>
      </w:r>
    </w:p>
    <w:p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eastAsia="ru-RU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.Самоанализ деятельности учреждения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МБДОУ «Тимяшевский детский сад  - Ласточка”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на 31.12.202</w:t>
      </w:r>
      <w:r>
        <w:rPr>
          <w:rFonts w:ascii="Times New Roman" w:hAnsi="Times New Roman"/>
          <w:b/>
          <w:bCs/>
          <w:i/>
          <w:sz w:val="24"/>
          <w:szCs w:val="24"/>
          <w:lang w:val="tt-RU" w:eastAsia="ru-RU"/>
        </w:rPr>
        <w:t>3</w:t>
      </w:r>
      <w:r>
        <w:rPr>
          <w:rFonts w:ascii="Times New Roman" w:hAnsi="Times New Roman"/>
          <w:b/>
          <w:bCs/>
          <w:i/>
          <w:sz w:val="24"/>
          <w:szCs w:val="24"/>
          <w:lang w:eastAsia="ru-RU"/>
        </w:rPr>
        <w:t>г.</w:t>
      </w:r>
    </w:p>
    <w:p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i/>
          <w:sz w:val="16"/>
          <w:szCs w:val="16"/>
          <w:lang w:eastAsia="ru-RU"/>
        </w:rPr>
      </w:pPr>
    </w:p>
    <w:tbl>
      <w:tblPr>
        <w:tblStyle w:val="7"/>
        <w:tblW w:w="10253" w:type="dxa"/>
        <w:tblInd w:w="-6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7480"/>
        <w:gridCol w:w="16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4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полного дня (12 часов)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 человек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  человек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7лет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64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 человек/%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дней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человек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человек/ 64%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человек / 64%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человека / 36%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человека/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человек /73%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 человек / 0 %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человек / 73%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1/9%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человека / 27%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3человека/ 27%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человек / 36%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человек / 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 человека /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Соотношение “педагогический работник/воспитанник” в дошкольной образовательной организации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человек /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5,8 кв.м.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кв.м.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en-US"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Calibri"/>
          <w:b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Calibri"/>
          <w:b/>
          <w:sz w:val="16"/>
          <w:szCs w:val="16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Calibri"/>
          <w:b/>
          <w:sz w:val="24"/>
          <w:szCs w:val="24"/>
          <w:lang w:val="en-US"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Calibri"/>
          <w:b/>
          <w:sz w:val="24"/>
          <w:szCs w:val="24"/>
          <w:lang w:val="en-US"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Calibri"/>
          <w:b/>
          <w:sz w:val="24"/>
          <w:szCs w:val="24"/>
          <w:lang w:val="en-US"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Calibri"/>
          <w:b/>
          <w:sz w:val="24"/>
          <w:szCs w:val="24"/>
          <w:lang w:eastAsia="ru-RU"/>
        </w:rPr>
      </w:pPr>
      <w:r>
        <w:rPr>
          <w:rFonts w:ascii="Times New Roman" w:hAnsi="Times New Roman" w:eastAsia="Calibri"/>
          <w:b/>
          <w:sz w:val="24"/>
          <w:szCs w:val="24"/>
          <w:lang w:eastAsia="ru-RU"/>
        </w:rPr>
        <w:t>МУНИЦИПАЛЬНОЕ БЮДЖЕТНОЕ ДОШКОЛЬНОЕ ОБРАЗОВАТЕЛЬНОЕ УЧРЕЖДЕНИЕ «ТИМЯШЕВСКИЙ ДЕТСКИЙ САД - ЛАСТОЧКА» МУНИЦИПАЛЬНОГО ОБРАЗОВАНИЯ «ЛЕНИНОГОРСКИЙ МУНИЦИПАЛЬНЫЙ РАЙОН» РЕСПУБЛИКИ ТАТАРСТАН</w:t>
      </w:r>
    </w:p>
    <w:p>
      <w:pPr>
        <w:spacing w:after="0" w:line="240" w:lineRule="auto"/>
        <w:jc w:val="center"/>
        <w:rPr>
          <w:rFonts w:ascii="Times New Roman" w:hAnsi="Times New Roman" w:eastAsia="Calibri"/>
          <w:b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Calibri"/>
          <w:b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Calibri"/>
          <w:b/>
          <w:sz w:val="28"/>
          <w:szCs w:val="28"/>
          <w:lang w:eastAsia="ru-RU"/>
        </w:rPr>
      </w:pPr>
      <w:r>
        <w:rPr>
          <w:rFonts w:ascii="Times New Roman" w:hAnsi="Times New Roman" w:eastAsia="Calibri"/>
          <w:b/>
          <w:sz w:val="28"/>
          <w:szCs w:val="28"/>
          <w:lang w:eastAsia="ru-RU"/>
        </w:rPr>
        <w:t>ПРИКАЗ</w:t>
      </w:r>
    </w:p>
    <w:p>
      <w:pPr>
        <w:spacing w:after="0" w:line="240" w:lineRule="auto"/>
        <w:jc w:val="center"/>
        <w:rPr>
          <w:rFonts w:ascii="Times New Roman" w:hAnsi="Times New Roman" w:eastAsia="Calibri"/>
          <w:b/>
          <w:sz w:val="28"/>
          <w:szCs w:val="28"/>
          <w:lang w:eastAsia="ru-RU"/>
        </w:rPr>
      </w:pPr>
    </w:p>
    <w:p>
      <w:pPr>
        <w:tabs>
          <w:tab w:val="right" w:pos="9355"/>
        </w:tabs>
        <w:spacing w:after="0" w:line="240" w:lineRule="auto"/>
        <w:rPr>
          <w:rFonts w:ascii="Times New Roman" w:hAnsi="Times New Roman" w:eastAsia="Calibri"/>
          <w:sz w:val="28"/>
          <w:szCs w:val="28"/>
          <w:lang w:eastAsia="ru-RU"/>
        </w:rPr>
      </w:pPr>
      <w:r>
        <w:rPr>
          <w:rFonts w:ascii="Times New Roman" w:hAnsi="Times New Roman" w:eastAsia="Calibri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eastAsia="Calibri"/>
          <w:sz w:val="28"/>
          <w:szCs w:val="28"/>
          <w:u w:val="single"/>
          <w:lang w:eastAsia="ru-RU"/>
        </w:rPr>
        <w:t>25.03.202</w:t>
      </w:r>
      <w:r>
        <w:rPr>
          <w:rFonts w:ascii="Times New Roman" w:hAnsi="Times New Roman" w:eastAsia="Calibri"/>
          <w:sz w:val="28"/>
          <w:szCs w:val="28"/>
          <w:u w:val="single"/>
          <w:lang w:val="tt-RU" w:eastAsia="ru-RU"/>
        </w:rPr>
        <w:t>4</w:t>
      </w:r>
      <w:r>
        <w:rPr>
          <w:rFonts w:ascii="Times New Roman" w:hAnsi="Times New Roman" w:eastAsia="Calibri"/>
          <w:sz w:val="28"/>
          <w:szCs w:val="28"/>
          <w:lang w:eastAsia="ru-RU"/>
        </w:rPr>
        <w:t xml:space="preserve">                                                                                        № </w:t>
      </w:r>
      <w:r>
        <w:rPr>
          <w:rFonts w:ascii="Times New Roman" w:hAnsi="Times New Roman" w:eastAsia="Calibri"/>
          <w:sz w:val="28"/>
          <w:szCs w:val="28"/>
          <w:u w:val="single"/>
          <w:lang w:val="tt-RU" w:eastAsia="ru-RU"/>
        </w:rPr>
        <w:t>16</w:t>
      </w:r>
      <w:r>
        <w:rPr>
          <w:rFonts w:ascii="Times New Roman" w:hAnsi="Times New Roman" w:eastAsia="Calibri"/>
          <w:sz w:val="28"/>
          <w:szCs w:val="28"/>
          <w:u w:val="single"/>
          <w:lang w:eastAsia="ru-RU"/>
        </w:rPr>
        <w:t xml:space="preserve"> - ОД</w:t>
      </w:r>
    </w:p>
    <w:p>
      <w:pPr>
        <w:tabs>
          <w:tab w:val="right" w:pos="9355"/>
        </w:tabs>
        <w:spacing w:after="0" w:line="240" w:lineRule="auto"/>
        <w:rPr>
          <w:rFonts w:ascii="Times New Roman" w:hAnsi="Times New Roman" w:eastAsia="Calibri"/>
          <w:sz w:val="28"/>
          <w:szCs w:val="28"/>
          <w:u w:val="single"/>
          <w:lang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О порядке подготовки и  проведения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самообследования  МБДОУ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«Тимяшевский детский сад – Ласточка»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>
        <w:fldChar w:fldCharType="begin"/>
      </w:r>
      <w:r>
        <w:instrText xml:space="preserve"> HYPERLINK "http://vip.1obraz.ru/" \l "/document/99/902389617/XA00M3C2MC/" </w:instrText>
      </w:r>
      <w:r>
        <w:fldChar w:fldCharType="separate"/>
      </w:r>
      <w:r>
        <w:rPr>
          <w:rStyle w:val="8"/>
          <w:rFonts w:ascii="Times New Roman" w:hAnsi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пунктом 13</w:t>
      </w:r>
      <w:r>
        <w:rPr>
          <w:rStyle w:val="8"/>
          <w:rFonts w:ascii="Times New Roman" w:hAnsi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частью 3 статьи 28,  </w:t>
      </w:r>
      <w:r>
        <w:fldChar w:fldCharType="begin"/>
      </w:r>
      <w:r>
        <w:instrText xml:space="preserve"> HYPERLINK "http://vip.1obraz.ru/" \l "/document/99/902389617/XA00M3C2MC/" </w:instrText>
      </w:r>
      <w:r>
        <w:fldChar w:fldCharType="separate"/>
      </w:r>
      <w:r>
        <w:rPr>
          <w:rStyle w:val="8"/>
          <w:rFonts w:ascii="Times New Roman" w:hAnsi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пунктом 3</w:t>
      </w:r>
      <w:r>
        <w:rPr>
          <w:rStyle w:val="8"/>
          <w:rFonts w:ascii="Times New Roman" w:hAnsi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части 2 статьи 29 Федерального закона от 29.12.2012 № 273-ФЗ «Об образовании в Российской Федерации», </w:t>
      </w:r>
      <w:r>
        <w:fldChar w:fldCharType="begin"/>
      </w:r>
      <w:r>
        <w:instrText xml:space="preserve"> HYPERLINK "http://vip.1obraz.ru/" \l "/document/99/499028374/" </w:instrText>
      </w:r>
      <w:r>
        <w:fldChar w:fldCharType="separate"/>
      </w:r>
      <w:r>
        <w:rPr>
          <w:rStyle w:val="8"/>
          <w:rFonts w:ascii="Times New Roman" w:hAnsi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приказом Минобрнауки от 14.06.2013 № 462</w:t>
      </w:r>
      <w:r>
        <w:rPr>
          <w:rStyle w:val="8"/>
          <w:rFonts w:ascii="Times New Roman" w:hAnsi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«Об утверждении Порядка проведения самообследования образовател</w:t>
      </w:r>
      <w:r>
        <w:rPr>
          <w:rFonts w:ascii="Times New Roman" w:hAnsi="Times New Roman"/>
          <w:sz w:val="28"/>
          <w:szCs w:val="28"/>
          <w:lang w:eastAsia="ru-RU"/>
        </w:rPr>
        <w:t xml:space="preserve">ьной организацией», Приказа Минобрнауки РФ от 14.12.2017 №1218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N 462»,  Приказа Минобрнауки РФ от 10.12.2013 №1324 «Об утверждении показателей деятельности образовательной организации, подлежащей самообследованию», в целях определения доступности и открытости информации о деятельности МБДОУ «Тимяшевский детский сад - Ласточка»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 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ПРИКАЗЫВАЮ:</w:t>
      </w:r>
    </w:p>
    <w:p>
      <w:pPr>
        <w:pStyle w:val="27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lang w:bidi="ru-RU"/>
        </w:rPr>
      </w:pPr>
      <w:r>
        <w:rPr>
          <w:rFonts w:ascii="Times New Roman" w:hAnsi="Times New Roman"/>
          <w:sz w:val="28"/>
          <w:lang w:bidi="ru-RU"/>
        </w:rPr>
        <w:t>Утвердить состав комиссия для проведения самообследования ДОУ  в следующем составе:</w:t>
      </w:r>
    </w:p>
    <w:p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00"/>
        <w:jc w:val="both"/>
        <w:rPr>
          <w:rFonts w:ascii="Times New Roman" w:hAnsi="Times New Roman"/>
          <w:sz w:val="28"/>
          <w:lang w:bidi="ru-RU"/>
        </w:rPr>
      </w:pPr>
      <w:r>
        <w:rPr>
          <w:rFonts w:ascii="Times New Roman" w:hAnsi="Times New Roman"/>
          <w:sz w:val="28"/>
          <w:lang w:bidi="ru-RU"/>
        </w:rPr>
        <w:t>Председатель комиссии: Николаева С.Г., старший воспитатель</w:t>
      </w:r>
    </w:p>
    <w:p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00"/>
        <w:jc w:val="both"/>
        <w:rPr>
          <w:rFonts w:ascii="Times New Roman" w:hAnsi="Times New Roman"/>
          <w:sz w:val="28"/>
          <w:lang w:bidi="ru-RU"/>
        </w:rPr>
      </w:pPr>
      <w:r>
        <w:rPr>
          <w:rFonts w:ascii="Times New Roman" w:hAnsi="Times New Roman"/>
          <w:sz w:val="28"/>
          <w:lang w:bidi="ru-RU"/>
        </w:rPr>
        <w:t>Члены комиссии:</w:t>
      </w:r>
    </w:p>
    <w:p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00"/>
        <w:jc w:val="both"/>
        <w:rPr>
          <w:rFonts w:ascii="Times New Roman" w:hAnsi="Times New Roman"/>
          <w:sz w:val="28"/>
          <w:lang w:bidi="ru-RU"/>
        </w:rPr>
      </w:pPr>
      <w:r>
        <w:rPr>
          <w:rFonts w:ascii="Times New Roman" w:hAnsi="Times New Roman"/>
          <w:sz w:val="28"/>
          <w:lang w:bidi="ru-RU"/>
        </w:rPr>
        <w:t>1.Валиева Г.М., воспитатель, председатель ППО;</w:t>
      </w:r>
    </w:p>
    <w:p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00"/>
        <w:jc w:val="both"/>
        <w:rPr>
          <w:rFonts w:ascii="Times New Roman" w:hAnsi="Times New Roman"/>
          <w:sz w:val="28"/>
          <w:lang w:bidi="ru-RU"/>
        </w:rPr>
      </w:pPr>
      <w:r>
        <w:rPr>
          <w:rFonts w:ascii="Times New Roman" w:hAnsi="Times New Roman"/>
          <w:sz w:val="28"/>
          <w:lang w:bidi="ru-RU"/>
        </w:rPr>
        <w:t>2.Рахимзянова Г.Р., воспитатель</w:t>
      </w:r>
    </w:p>
    <w:p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00"/>
        <w:jc w:val="both"/>
        <w:rPr>
          <w:rFonts w:ascii="Times New Roman" w:hAnsi="Times New Roman"/>
          <w:sz w:val="28"/>
          <w:lang w:bidi="ru-RU"/>
        </w:rPr>
      </w:pPr>
      <w:r>
        <w:rPr>
          <w:rFonts w:ascii="Times New Roman" w:hAnsi="Times New Roman"/>
          <w:sz w:val="28"/>
          <w:lang w:bidi="ru-RU"/>
        </w:rPr>
        <w:t>3.Каргина Г.П., воспитатель</w:t>
      </w:r>
    </w:p>
    <w:p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0"/>
        <w:jc w:val="both"/>
        <w:rPr>
          <w:rFonts w:ascii="Times New Roman" w:hAnsi="Times New Roman"/>
          <w:sz w:val="28"/>
          <w:lang w:bidi="ru-RU"/>
        </w:rPr>
      </w:pPr>
      <w:r>
        <w:rPr>
          <w:rFonts w:ascii="Times New Roman" w:hAnsi="Times New Roman"/>
          <w:sz w:val="28"/>
          <w:lang w:bidi="ru-RU"/>
        </w:rPr>
        <w:t>2.Комиссии разработать и представить для утверждения заведующему План проведения самообследования до 29.03.202</w:t>
      </w:r>
      <w:r>
        <w:rPr>
          <w:rFonts w:ascii="Times New Roman" w:hAnsi="Times New Roman"/>
          <w:sz w:val="28"/>
          <w:lang w:val="tt-RU" w:bidi="ru-RU"/>
        </w:rPr>
        <w:t>4</w:t>
      </w:r>
      <w:r>
        <w:rPr>
          <w:rFonts w:ascii="Times New Roman" w:hAnsi="Times New Roman"/>
          <w:sz w:val="28"/>
          <w:lang w:bidi="ru-RU"/>
        </w:rPr>
        <w:t>.</w:t>
      </w:r>
    </w:p>
    <w:p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0"/>
        <w:jc w:val="both"/>
        <w:rPr>
          <w:rFonts w:ascii="Times New Roman" w:hAnsi="Times New Roman"/>
          <w:sz w:val="28"/>
          <w:lang w:val="en-US" w:bidi="ru-RU"/>
        </w:rPr>
      </w:pPr>
      <w:r>
        <w:rPr>
          <w:rFonts w:ascii="Times New Roman" w:hAnsi="Times New Roman"/>
          <w:sz w:val="28"/>
          <w:lang w:bidi="ru-RU"/>
        </w:rPr>
        <w:t xml:space="preserve">3. </w:t>
      </w:r>
      <w:r>
        <w:rPr>
          <w:rFonts w:ascii="Times New Roman" w:hAnsi="Times New Roman"/>
          <w:sz w:val="28"/>
          <w:lang w:val="en-US" w:bidi="ru-RU"/>
        </w:rPr>
        <w:t>Установить:</w:t>
      </w:r>
    </w:p>
    <w:p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lang w:eastAsia="ru-RU" w:bidi="ru-RU"/>
        </w:rPr>
      </w:pPr>
      <w:r>
        <w:rPr>
          <w:rFonts w:ascii="Times New Roman" w:hAnsi="Times New Roman"/>
          <w:sz w:val="28"/>
          <w:lang w:eastAsia="ru-RU" w:bidi="ru-RU"/>
        </w:rPr>
        <w:t>Сроки проведения самообследования -— с 29.03.202</w:t>
      </w:r>
      <w:r>
        <w:rPr>
          <w:rFonts w:ascii="Times New Roman" w:hAnsi="Times New Roman"/>
          <w:sz w:val="28"/>
          <w:lang w:val="tt-RU" w:eastAsia="ru-RU" w:bidi="ru-RU"/>
        </w:rPr>
        <w:t>4</w:t>
      </w:r>
      <w:r>
        <w:rPr>
          <w:rFonts w:ascii="Times New Roman" w:hAnsi="Times New Roman"/>
          <w:sz w:val="28"/>
          <w:lang w:eastAsia="ru-RU" w:bidi="ru-RU"/>
        </w:rPr>
        <w:t xml:space="preserve"> г. по 19.04.202</w:t>
      </w:r>
      <w:r>
        <w:rPr>
          <w:rFonts w:ascii="Times New Roman" w:hAnsi="Times New Roman"/>
          <w:sz w:val="28"/>
          <w:lang w:val="tt-RU" w:eastAsia="ru-RU" w:bidi="ru-RU"/>
        </w:rPr>
        <w:t>4</w:t>
      </w:r>
      <w:r>
        <w:rPr>
          <w:rFonts w:ascii="Times New Roman" w:hAnsi="Times New Roman"/>
          <w:sz w:val="28"/>
          <w:lang w:eastAsia="ru-RU" w:bidi="ru-RU"/>
        </w:rPr>
        <w:t xml:space="preserve"> г.</w:t>
      </w:r>
    </w:p>
    <w:p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lang w:eastAsia="ru-RU" w:bidi="ru-RU"/>
        </w:rPr>
      </w:pPr>
      <w:r>
        <w:rPr>
          <w:rFonts w:ascii="Times New Roman" w:hAnsi="Times New Roman"/>
          <w:sz w:val="28"/>
          <w:lang w:eastAsia="ru-RU" w:bidi="ru-RU"/>
        </w:rPr>
        <w:t>Форма проведения самообследования — отчет, включающий аналитическую часть и результаты анализа показателей деятельности детского сада.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lang w:eastAsia="ru-RU" w:bidi="ru-RU"/>
        </w:rPr>
      </w:pPr>
      <w:r>
        <w:rPr>
          <w:rFonts w:ascii="Times New Roman" w:hAnsi="Times New Roman"/>
          <w:sz w:val="28"/>
          <w:lang w:eastAsia="ru-RU" w:bidi="ru-RU"/>
        </w:rPr>
        <w:t>4.Контроль за исполнением приказа оставляю за собой.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  </w:t>
      </w:r>
    </w:p>
    <w:p>
      <w:pPr>
        <w:tabs>
          <w:tab w:val="left" w:pos="6412"/>
        </w:tabs>
        <w:spacing w:after="0" w:line="240" w:lineRule="auto"/>
        <w:jc w:val="both"/>
        <w:rPr>
          <w:rFonts w:ascii="Times New Roman" w:hAnsi="Times New Roman" w:eastAsia="Calibri"/>
          <w:sz w:val="28"/>
          <w:szCs w:val="28"/>
          <w:lang w:val="tt-RU" w:eastAsia="ru-RU"/>
        </w:rPr>
      </w:pPr>
      <w:r>
        <w:rPr>
          <w:rFonts w:ascii="Times New Roman" w:hAnsi="Times New Roman" w:eastAsia="Calibri"/>
          <w:sz w:val="28"/>
          <w:szCs w:val="28"/>
          <w:lang w:eastAsia="ru-RU"/>
        </w:rPr>
        <w:t xml:space="preserve">Заведующий </w:t>
      </w:r>
      <w:r>
        <w:rPr>
          <w:rFonts w:ascii="Times New Roman" w:hAnsi="Times New Roman" w:eastAsia="Calibri"/>
          <w:sz w:val="28"/>
          <w:szCs w:val="28"/>
          <w:lang w:eastAsia="ru-RU"/>
        </w:rPr>
        <w:tab/>
      </w:r>
      <w:r>
        <w:rPr>
          <w:rFonts w:ascii="Times New Roman" w:hAnsi="Times New Roman" w:eastAsia="Calibri"/>
          <w:sz w:val="28"/>
          <w:szCs w:val="28"/>
          <w:lang w:eastAsia="ru-RU"/>
        </w:rPr>
        <w:t>О.А. Чернова</w:t>
      </w:r>
    </w:p>
    <w:p>
      <w:pPr>
        <w:tabs>
          <w:tab w:val="left" w:pos="6412"/>
        </w:tabs>
        <w:spacing w:after="0" w:line="240" w:lineRule="auto"/>
        <w:jc w:val="both"/>
        <w:rPr>
          <w:rFonts w:ascii="Times New Roman" w:hAnsi="Times New Roman" w:eastAsia="Calibri"/>
          <w:sz w:val="28"/>
          <w:szCs w:val="28"/>
          <w:lang w:val="tt-RU" w:eastAsia="ru-RU"/>
        </w:rPr>
      </w:pPr>
    </w:p>
    <w:p>
      <w:pPr>
        <w:spacing w:after="0" w:line="360" w:lineRule="auto"/>
        <w:jc w:val="center"/>
        <w:rPr>
          <w:rFonts w:ascii="Times New Roman" w:hAnsi="Times New Roman" w:eastAsia="Calibri"/>
          <w:lang w:eastAsia="ru-RU"/>
        </w:rPr>
      </w:pPr>
      <w:r>
        <w:rPr>
          <w:rFonts w:ascii="Times New Roman" w:hAnsi="Times New Roman" w:eastAsia="Calibri"/>
          <w:lang w:eastAsia="ru-RU"/>
        </w:rPr>
        <w:t>МУНИЦИПАЛЬНОЕ БЮДЖЕТНОЕ ДОШКОЛЬНОЕ ОБРАЗОВАТЕЛЬНОЕ УЧРЕЖДЕНИЕ «ТИМЯШЕВСКИЙ ДЕТСКИЙ САД - ЛАСТОЧКА» МУНИЦИПАЛЬНОГО ОБРАЗОВАНИЯ «ЛЕНИНОГОРСКИЙ МУНИЦИПАЛЬНЫЙ РАЙОН» РЕСПУБЛИКИ ТАТАРСТАН</w:t>
      </w:r>
    </w:p>
    <w:p>
      <w:pPr>
        <w:spacing w:after="0" w:line="360" w:lineRule="auto"/>
        <w:jc w:val="center"/>
        <w:rPr>
          <w:rFonts w:ascii="Times New Roman" w:hAnsi="Times New Roman" w:eastAsia="Calibri"/>
          <w:b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Calibri"/>
          <w:b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Calibri"/>
          <w:b/>
          <w:sz w:val="24"/>
          <w:szCs w:val="24"/>
          <w:lang w:eastAsia="ru-RU"/>
        </w:rPr>
      </w:pPr>
      <w:r>
        <w:rPr>
          <w:rFonts w:ascii="Times New Roman" w:hAnsi="Times New Roman" w:eastAsia="Calibri"/>
          <w:b/>
          <w:sz w:val="24"/>
          <w:szCs w:val="24"/>
          <w:lang w:eastAsia="ru-RU"/>
        </w:rPr>
        <w:t>ПРИКАЗ</w:t>
      </w:r>
    </w:p>
    <w:p>
      <w:pPr>
        <w:spacing w:after="0" w:line="240" w:lineRule="auto"/>
        <w:jc w:val="center"/>
        <w:rPr>
          <w:rFonts w:ascii="Times New Roman" w:hAnsi="Times New Roman" w:eastAsia="Calibri"/>
          <w:b/>
          <w:sz w:val="24"/>
          <w:szCs w:val="24"/>
          <w:lang w:eastAsia="ru-RU"/>
        </w:rPr>
      </w:pPr>
    </w:p>
    <w:p>
      <w:pPr>
        <w:tabs>
          <w:tab w:val="left" w:pos="7215"/>
        </w:tabs>
        <w:spacing w:after="0" w:line="240" w:lineRule="auto"/>
        <w:rPr>
          <w:rFonts w:ascii="Times New Roman" w:hAnsi="Times New Roman" w:eastAsia="Calibri"/>
          <w:b/>
          <w:sz w:val="24"/>
          <w:szCs w:val="24"/>
          <w:lang w:eastAsia="ru-RU"/>
        </w:rPr>
      </w:pPr>
      <w:r>
        <w:rPr>
          <w:rFonts w:ascii="Times New Roman" w:hAnsi="Times New Roman" w:eastAsia="Calibri"/>
          <w:b/>
          <w:sz w:val="24"/>
          <w:szCs w:val="24"/>
          <w:lang w:eastAsia="ru-RU"/>
        </w:rPr>
        <w:t>от________________</w:t>
      </w:r>
      <w:r>
        <w:rPr>
          <w:rFonts w:ascii="Times New Roman" w:hAnsi="Times New Roman" w:eastAsia="Calibri"/>
          <w:b/>
          <w:sz w:val="24"/>
          <w:szCs w:val="24"/>
          <w:lang w:eastAsia="ru-RU"/>
        </w:rPr>
        <w:tab/>
      </w:r>
      <w:r>
        <w:rPr>
          <w:rFonts w:ascii="Times New Roman" w:hAnsi="Times New Roman" w:eastAsia="Calibri"/>
          <w:b/>
          <w:sz w:val="24"/>
          <w:szCs w:val="24"/>
          <w:lang w:eastAsia="ru-RU"/>
        </w:rPr>
        <w:t>№_________</w:t>
      </w:r>
    </w:p>
    <w:p>
      <w:pPr>
        <w:spacing w:after="0" w:line="240" w:lineRule="auto"/>
        <w:jc w:val="center"/>
        <w:rPr>
          <w:rFonts w:ascii="Times New Roman" w:hAnsi="Times New Roman" w:eastAsia="Calibri"/>
          <w:b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Calibri"/>
          <w:b/>
          <w:sz w:val="24"/>
          <w:szCs w:val="24"/>
          <w:lang w:eastAsia="ru-RU"/>
        </w:rPr>
      </w:pPr>
    </w:p>
    <w:p>
      <w:pPr>
        <w:tabs>
          <w:tab w:val="left" w:pos="6412"/>
        </w:tabs>
        <w:spacing w:after="0" w:line="240" w:lineRule="auto"/>
        <w:jc w:val="both"/>
        <w:rPr>
          <w:rFonts w:ascii="Times New Roman" w:hAnsi="Times New Roman" w:eastAsia="Calibri"/>
          <w:b/>
          <w:sz w:val="24"/>
          <w:szCs w:val="24"/>
          <w:lang w:val="tt-RU" w:eastAsia="ru-RU"/>
        </w:rPr>
      </w:pPr>
    </w:p>
    <w:p>
      <w:pPr>
        <w:tabs>
          <w:tab w:val="left" w:pos="6412"/>
        </w:tabs>
        <w:spacing w:after="0" w:line="360" w:lineRule="auto"/>
        <w:jc w:val="both"/>
        <w:rPr>
          <w:rFonts w:ascii="Times New Roman" w:hAnsi="Times New Roman" w:eastAsia="Calibri"/>
          <w:b/>
          <w:sz w:val="24"/>
          <w:szCs w:val="24"/>
          <w:lang w:val="tt-RU" w:eastAsia="ru-RU"/>
        </w:rPr>
      </w:pPr>
      <w:r>
        <w:rPr>
          <w:rFonts w:ascii="Times New Roman" w:hAnsi="Times New Roman" w:eastAsia="Calibri"/>
          <w:b/>
          <w:sz w:val="24"/>
          <w:szCs w:val="24"/>
          <w:lang w:val="tt-RU" w:eastAsia="ru-RU"/>
        </w:rPr>
        <w:t>Об утверждении отчета</w:t>
      </w:r>
    </w:p>
    <w:p>
      <w:pPr>
        <w:tabs>
          <w:tab w:val="left" w:pos="6412"/>
        </w:tabs>
        <w:spacing w:after="0" w:line="360" w:lineRule="auto"/>
        <w:jc w:val="both"/>
        <w:rPr>
          <w:rFonts w:ascii="Times New Roman" w:hAnsi="Times New Roman" w:eastAsia="Calibri"/>
          <w:b/>
          <w:sz w:val="24"/>
          <w:szCs w:val="24"/>
          <w:lang w:val="tt-RU" w:eastAsia="ru-RU"/>
        </w:rPr>
      </w:pPr>
      <w:r>
        <w:rPr>
          <w:rFonts w:ascii="Times New Roman" w:hAnsi="Times New Roman" w:eastAsia="Calibri"/>
          <w:b/>
          <w:sz w:val="24"/>
          <w:szCs w:val="24"/>
          <w:lang w:val="tt-RU" w:eastAsia="ru-RU"/>
        </w:rPr>
        <w:t xml:space="preserve"> по резул</w:t>
      </w:r>
      <w:r>
        <w:rPr>
          <w:rFonts w:ascii="Times New Roman" w:hAnsi="Times New Roman" w:eastAsia="Calibri"/>
          <w:b/>
          <w:sz w:val="24"/>
          <w:szCs w:val="24"/>
          <w:lang w:eastAsia="ru-RU"/>
        </w:rPr>
        <w:t>ь</w:t>
      </w:r>
      <w:r>
        <w:rPr>
          <w:rFonts w:ascii="Times New Roman" w:hAnsi="Times New Roman" w:eastAsia="Calibri"/>
          <w:b/>
          <w:sz w:val="24"/>
          <w:szCs w:val="24"/>
          <w:lang w:val="tt-RU" w:eastAsia="ru-RU"/>
        </w:rPr>
        <w:t>татам самообследования</w:t>
      </w: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В соответствии с </w:t>
      </w:r>
      <w:r>
        <w:fldChar w:fldCharType="begin"/>
      </w:r>
      <w:r>
        <w:instrText xml:space="preserve"> HYPERLINK "http://vip.1obraz.ru/" \l "/document/99/902389617/XA00M3C2MC/" </w:instrText>
      </w:r>
      <w:r>
        <w:fldChar w:fldCharType="separate"/>
      </w:r>
      <w:r>
        <w:rPr>
          <w:rStyle w:val="8"/>
          <w:rFonts w:ascii="Times New Roman" w:hAnsi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пунктом 13</w:t>
      </w:r>
      <w:r>
        <w:rPr>
          <w:rStyle w:val="8"/>
          <w:rFonts w:ascii="Times New Roman" w:hAnsi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 xml:space="preserve"> частью 3 статьи 28,  </w:t>
      </w:r>
      <w:r>
        <w:fldChar w:fldCharType="begin"/>
      </w:r>
      <w:r>
        <w:instrText xml:space="preserve"> HYPERLINK "http://vip.1obraz.ru/" \l "/document/99/902389617/XA00M3C2MC/" </w:instrText>
      </w:r>
      <w:r>
        <w:fldChar w:fldCharType="separate"/>
      </w:r>
      <w:r>
        <w:rPr>
          <w:rStyle w:val="8"/>
          <w:rFonts w:ascii="Times New Roman" w:hAnsi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пунктом 3</w:t>
      </w:r>
      <w:r>
        <w:rPr>
          <w:rStyle w:val="8"/>
          <w:rFonts w:ascii="Times New Roman" w:hAnsi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 xml:space="preserve"> части 2 статьи 29 Федерального закона от 29.12.2012 № 273-ФЗ «Об образовании в Российской Федерации», </w:t>
      </w:r>
      <w:r>
        <w:fldChar w:fldCharType="begin"/>
      </w:r>
      <w:r>
        <w:instrText xml:space="preserve"> HYPERLINK "http://vip.1obraz.ru/" \l "/document/99/499028374/" </w:instrText>
      </w:r>
      <w:r>
        <w:fldChar w:fldCharType="separate"/>
      </w:r>
      <w:r>
        <w:rPr>
          <w:rStyle w:val="8"/>
          <w:rFonts w:ascii="Times New Roman" w:hAnsi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приказом Минобрнауки от 14.06.2013 № 462</w:t>
      </w:r>
      <w:r>
        <w:rPr>
          <w:rStyle w:val="8"/>
          <w:rFonts w:ascii="Times New Roman" w:hAnsi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 xml:space="preserve"> «Об утверждени</w:t>
      </w:r>
      <w:r>
        <w:rPr>
          <w:rFonts w:ascii="Times New Roman" w:hAnsi="Times New Roman"/>
          <w:sz w:val="24"/>
          <w:szCs w:val="24"/>
          <w:lang w:eastAsia="ru-RU"/>
        </w:rPr>
        <w:t xml:space="preserve">и Порядка проведения самообследования образовательной организацией», Приказа Минобрнауки РФ от 14.12.2017 №1218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N 462»,  Приказа Минобрнауки РФ от 10.12.2013 №1324 «Об утверждении показателей деятельности образовательной организации, подлежащей самообследованию», приказа МБДОУ «Тимяшевский детский сад - Ласточка» №17-ОД от 30.03.2021 «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u-RU" w:bidi="ru-RU"/>
        </w:rPr>
        <w:t>О порядке подготовки и  проведения  самообследования  МБДОУ  «Тимяшевский детский сад – Ласточка»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 w:bidi="ru-RU"/>
        </w:rPr>
        <w:t>приказываю:</w:t>
      </w:r>
    </w:p>
    <w:p>
      <w:pPr>
        <w:pStyle w:val="27"/>
        <w:numPr>
          <w:ilvl w:val="2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отчет о результатах самообследования деятельноси МБДОУ «Тимяшевский детский сад – Ласточка» за 202</w:t>
      </w:r>
      <w:r>
        <w:rPr>
          <w:rFonts w:ascii="Times New Roman" w:hAnsi="Times New Roman"/>
          <w:sz w:val="24"/>
          <w:szCs w:val="24"/>
          <w:lang w:val="tt-RU"/>
        </w:rPr>
        <w:t>3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>
      <w:pPr>
        <w:pStyle w:val="27"/>
        <w:numPr>
          <w:ilvl w:val="2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Старшему воспитателю Николаевой С.Г. разместить отчет о результатах самообследования деятельноси МБДОУ «Тимяшевский детский сад – Ласточка» за 202</w:t>
      </w:r>
      <w:r>
        <w:rPr>
          <w:rFonts w:ascii="Times New Roman" w:hAnsi="Times New Roman"/>
          <w:sz w:val="24"/>
          <w:szCs w:val="24"/>
          <w:lang w:val="tt-RU"/>
        </w:rPr>
        <w:t xml:space="preserve">3 </w:t>
      </w:r>
      <w:r>
        <w:rPr>
          <w:rFonts w:ascii="Times New Roman" w:hAnsi="Times New Roman"/>
          <w:sz w:val="24"/>
          <w:szCs w:val="24"/>
        </w:rPr>
        <w:t xml:space="preserve"> год на сайте учреждения не позднее 22.04.202</w:t>
      </w:r>
      <w:r>
        <w:rPr>
          <w:rFonts w:ascii="Times New Roman" w:hAnsi="Times New Roman"/>
          <w:sz w:val="24"/>
          <w:szCs w:val="24"/>
          <w:lang w:val="tt-RU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27"/>
        <w:numPr>
          <w:ilvl w:val="2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настоящего приказа оставляю за собой.</w:t>
      </w:r>
    </w:p>
    <w:p>
      <w:pPr>
        <w:pStyle w:val="27"/>
        <w:spacing w:line="360" w:lineRule="auto"/>
        <w:ind w:left="480"/>
        <w:rPr>
          <w:rFonts w:ascii="Times New Roman" w:hAnsi="Times New Roman"/>
          <w:sz w:val="24"/>
          <w:szCs w:val="24"/>
        </w:rPr>
      </w:pPr>
    </w:p>
    <w:p>
      <w:pPr>
        <w:pStyle w:val="27"/>
        <w:spacing w:line="360" w:lineRule="auto"/>
        <w:ind w:left="480"/>
        <w:rPr>
          <w:rFonts w:ascii="Times New Roman" w:hAnsi="Times New Roman"/>
          <w:sz w:val="24"/>
          <w:szCs w:val="24"/>
        </w:rPr>
      </w:pPr>
    </w:p>
    <w:p>
      <w:pPr>
        <w:pStyle w:val="27"/>
        <w:spacing w:line="360" w:lineRule="auto"/>
        <w:ind w:left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                                                                                       О.А. Чернова</w:t>
      </w:r>
    </w:p>
    <w:p>
      <w:pPr>
        <w:pStyle w:val="27"/>
        <w:spacing w:line="360" w:lineRule="auto"/>
        <w:ind w:left="1920"/>
        <w:rPr>
          <w:rFonts w:ascii="Times New Roman" w:hAnsi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Book Antiqua">
    <w:panose1 w:val="02040602050305030304"/>
    <w:charset w:val="CC"/>
    <w:family w:val="roman"/>
    <w:pitch w:val="default"/>
    <w:sig w:usb0="00000287" w:usb1="00000000" w:usb2="00000000" w:usb3="00000000" w:csb0="2000009F" w:csb1="DFD70000"/>
  </w:font>
  <w:font w:name="Impact">
    <w:panose1 w:val="020B0806030902050204"/>
    <w:charset w:val="CC"/>
    <w:family w:val="swiss"/>
    <w:pitch w:val="default"/>
    <w:sig w:usb0="00000287" w:usb1="00000000" w:usb2="00000000" w:usb3="00000000" w:csb0="2000009F" w:csb1="DFD70000"/>
  </w:font>
  <w:font w:name="Candara">
    <w:panose1 w:val="020E0502030303020204"/>
    <w:charset w:val="CC"/>
    <w:family w:val="swiss"/>
    <w:pitch w:val="default"/>
    <w:sig w:usb0="A00002EF" w:usb1="4000A44B" w:usb2="00000000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NewRomanPSMT">
    <w:altName w:val="MS Gothic"/>
    <w:panose1 w:val="00000000000000000000"/>
    <w:charset w:val="80"/>
    <w:family w:val="auto"/>
    <w:pitch w:val="default"/>
    <w:sig w:usb0="00000000" w:usb1="00000000" w:usb2="00000010" w:usb3="00000000" w:csb0="00020004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249429"/>
    <w:multiLevelType w:val="multilevel"/>
    <w:tmpl w:val="91249429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80" w:hanging="480"/>
      </w:pPr>
    </w:lvl>
    <w:lvl w:ilvl="1" w:tentative="0">
      <w:start w:val="1"/>
      <w:numFmt w:val="decimal"/>
      <w:lvlText w:val="%2."/>
      <w:lvlJc w:val="left"/>
      <w:pPr>
        <w:tabs>
          <w:tab w:val="left" w:pos="720"/>
        </w:tabs>
        <w:ind w:left="1200" w:hanging="48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920" w:hanging="48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640" w:hanging="480"/>
      </w:pPr>
    </w:lvl>
    <w:lvl w:ilvl="4" w:tentative="0">
      <w:start w:val="1"/>
      <w:numFmt w:val="decimal"/>
      <w:lvlText w:val="%5."/>
      <w:lvlJc w:val="left"/>
      <w:pPr>
        <w:tabs>
          <w:tab w:val="left" w:pos="2880"/>
        </w:tabs>
        <w:ind w:left="3360" w:hanging="480"/>
      </w:pPr>
    </w:lvl>
    <w:lvl w:ilvl="5" w:tentative="0">
      <w:start w:val="1"/>
      <w:numFmt w:val="decimal"/>
      <w:lvlText w:val="%6."/>
      <w:lvlJc w:val="left"/>
      <w:pPr>
        <w:tabs>
          <w:tab w:val="left" w:pos="3600"/>
        </w:tabs>
        <w:ind w:left="4080" w:hanging="480"/>
      </w:pPr>
    </w:lvl>
    <w:lvl w:ilvl="6" w:tentative="0">
      <w:start w:val="1"/>
      <w:numFmt w:val="decimal"/>
      <w:lvlText w:val="%7."/>
      <w:lvlJc w:val="left"/>
      <w:pPr>
        <w:tabs>
          <w:tab w:val="left" w:pos="4320"/>
        </w:tabs>
        <w:ind w:left="4800" w:hanging="48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">
    <w:nsid w:val="9B1BA7B1"/>
    <w:multiLevelType w:val="multilevel"/>
    <w:tmpl w:val="9B1BA7B1"/>
    <w:lvl w:ilvl="0" w:tentative="0">
      <w:start w:val="0"/>
      <w:numFmt w:val="bullet"/>
      <w:lvlText w:val="•"/>
      <w:lvlJc w:val="left"/>
      <w:pPr>
        <w:tabs>
          <w:tab w:val="left" w:pos="0"/>
        </w:tabs>
        <w:ind w:left="480" w:hanging="480"/>
      </w:pPr>
    </w:lvl>
    <w:lvl w:ilvl="1" w:tentative="0">
      <w:start w:val="0"/>
      <w:numFmt w:val="bullet"/>
      <w:lvlText w:val="–"/>
      <w:lvlJc w:val="left"/>
      <w:pPr>
        <w:tabs>
          <w:tab w:val="left" w:pos="720"/>
        </w:tabs>
        <w:ind w:left="1200" w:hanging="480"/>
      </w:pPr>
    </w:lvl>
    <w:lvl w:ilvl="2" w:tentative="0">
      <w:start w:val="0"/>
      <w:numFmt w:val="bullet"/>
      <w:lvlText w:val="•"/>
      <w:lvlJc w:val="left"/>
      <w:pPr>
        <w:tabs>
          <w:tab w:val="left" w:pos="1440"/>
        </w:tabs>
        <w:ind w:left="1920" w:hanging="480"/>
      </w:pPr>
    </w:lvl>
    <w:lvl w:ilvl="3" w:tentative="0">
      <w:start w:val="0"/>
      <w:numFmt w:val="bullet"/>
      <w:lvlText w:val="–"/>
      <w:lvlJc w:val="left"/>
      <w:pPr>
        <w:tabs>
          <w:tab w:val="left" w:pos="2160"/>
        </w:tabs>
        <w:ind w:left="2640" w:hanging="480"/>
      </w:pPr>
    </w:lvl>
    <w:lvl w:ilvl="4" w:tentative="0">
      <w:start w:val="0"/>
      <w:numFmt w:val="bullet"/>
      <w:lvlText w:val="•"/>
      <w:lvlJc w:val="left"/>
      <w:pPr>
        <w:tabs>
          <w:tab w:val="left" w:pos="2880"/>
        </w:tabs>
        <w:ind w:left="3360" w:hanging="480"/>
      </w:pPr>
    </w:lvl>
    <w:lvl w:ilvl="5" w:tentative="0">
      <w:start w:val="0"/>
      <w:numFmt w:val="bullet"/>
      <w:lvlText w:val="–"/>
      <w:lvlJc w:val="left"/>
      <w:pPr>
        <w:tabs>
          <w:tab w:val="left" w:pos="3600"/>
        </w:tabs>
        <w:ind w:left="4080" w:hanging="480"/>
      </w:pPr>
    </w:lvl>
    <w:lvl w:ilvl="6" w:tentative="0">
      <w:start w:val="0"/>
      <w:numFmt w:val="bullet"/>
      <w:lvlText w:val="•"/>
      <w:lvlJc w:val="left"/>
      <w:pPr>
        <w:tabs>
          <w:tab w:val="left" w:pos="4320"/>
        </w:tabs>
        <w:ind w:left="4800" w:hanging="48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2">
    <w:nsid w:val="012D4846"/>
    <w:multiLevelType w:val="multilevel"/>
    <w:tmpl w:val="012D484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E416CAB"/>
    <w:multiLevelType w:val="multilevel"/>
    <w:tmpl w:val="1E416CAB"/>
    <w:lvl w:ilvl="0" w:tentative="0">
      <w:start w:val="1"/>
      <w:numFmt w:val="bullet"/>
      <w:lvlText w:val=""/>
      <w:lvlJc w:val="left"/>
      <w:pPr>
        <w:ind w:left="48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20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92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64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36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8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80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52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245" w:hanging="360"/>
      </w:pPr>
      <w:rPr>
        <w:rFonts w:hint="default" w:ascii="Wingdings" w:hAnsi="Wingdings"/>
      </w:rPr>
    </w:lvl>
  </w:abstractNum>
  <w:abstractNum w:abstractNumId="4">
    <w:nsid w:val="509C2BD3"/>
    <w:multiLevelType w:val="multilevel"/>
    <w:tmpl w:val="509C2BD3"/>
    <w:lvl w:ilvl="0" w:tentative="0">
      <w:start w:val="1"/>
      <w:numFmt w:val="bullet"/>
      <w:lvlText w:val=""/>
      <w:lvlJc w:val="left"/>
      <w:pPr>
        <w:ind w:left="41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5">
    <w:nsid w:val="7FFD609E"/>
    <w:multiLevelType w:val="multilevel"/>
    <w:tmpl w:val="7FFD609E"/>
    <w:lvl w:ilvl="0" w:tentative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4B7"/>
    <w:rsid w:val="00025A5B"/>
    <w:rsid w:val="000778EB"/>
    <w:rsid w:val="000A31B6"/>
    <w:rsid w:val="000B4503"/>
    <w:rsid w:val="000F12DB"/>
    <w:rsid w:val="00120A07"/>
    <w:rsid w:val="00163C36"/>
    <w:rsid w:val="001925F5"/>
    <w:rsid w:val="001977D6"/>
    <w:rsid w:val="001A094D"/>
    <w:rsid w:val="001C4F3B"/>
    <w:rsid w:val="001C5CCA"/>
    <w:rsid w:val="001E79C9"/>
    <w:rsid w:val="00231128"/>
    <w:rsid w:val="002622FC"/>
    <w:rsid w:val="00272A4D"/>
    <w:rsid w:val="0028731D"/>
    <w:rsid w:val="002C3319"/>
    <w:rsid w:val="00315BFB"/>
    <w:rsid w:val="003418BD"/>
    <w:rsid w:val="00362040"/>
    <w:rsid w:val="00381A85"/>
    <w:rsid w:val="003B4CB9"/>
    <w:rsid w:val="00457562"/>
    <w:rsid w:val="004D5DBB"/>
    <w:rsid w:val="004F52E0"/>
    <w:rsid w:val="004F5B5B"/>
    <w:rsid w:val="00524BA1"/>
    <w:rsid w:val="0055320B"/>
    <w:rsid w:val="005E00CB"/>
    <w:rsid w:val="00600940"/>
    <w:rsid w:val="0060152C"/>
    <w:rsid w:val="00616736"/>
    <w:rsid w:val="006B04BB"/>
    <w:rsid w:val="00700023"/>
    <w:rsid w:val="00712D91"/>
    <w:rsid w:val="00741FD6"/>
    <w:rsid w:val="0076698B"/>
    <w:rsid w:val="007F7790"/>
    <w:rsid w:val="008277ED"/>
    <w:rsid w:val="00852768"/>
    <w:rsid w:val="00865BC3"/>
    <w:rsid w:val="0088772C"/>
    <w:rsid w:val="008C4CC6"/>
    <w:rsid w:val="009267B0"/>
    <w:rsid w:val="00944897"/>
    <w:rsid w:val="009C267D"/>
    <w:rsid w:val="009E089C"/>
    <w:rsid w:val="00A03331"/>
    <w:rsid w:val="00A17BF5"/>
    <w:rsid w:val="00A3402A"/>
    <w:rsid w:val="00A52AE9"/>
    <w:rsid w:val="00A54C94"/>
    <w:rsid w:val="00A6579E"/>
    <w:rsid w:val="00A773AA"/>
    <w:rsid w:val="00A82E6F"/>
    <w:rsid w:val="00B7005E"/>
    <w:rsid w:val="00BC3F22"/>
    <w:rsid w:val="00BD053E"/>
    <w:rsid w:val="00C45420"/>
    <w:rsid w:val="00C64F77"/>
    <w:rsid w:val="00C83424"/>
    <w:rsid w:val="00C938C7"/>
    <w:rsid w:val="00CE55BA"/>
    <w:rsid w:val="00D40C94"/>
    <w:rsid w:val="00D573F8"/>
    <w:rsid w:val="00DD0A51"/>
    <w:rsid w:val="00DE36B9"/>
    <w:rsid w:val="00DE65E6"/>
    <w:rsid w:val="00E73072"/>
    <w:rsid w:val="00E844FE"/>
    <w:rsid w:val="00EB6304"/>
    <w:rsid w:val="00ED4553"/>
    <w:rsid w:val="00F00894"/>
    <w:rsid w:val="00F014D9"/>
    <w:rsid w:val="00F43E98"/>
    <w:rsid w:val="00F477B7"/>
    <w:rsid w:val="00F56D38"/>
    <w:rsid w:val="00F948A6"/>
    <w:rsid w:val="00FB74B7"/>
    <w:rsid w:val="00FE0FB4"/>
    <w:rsid w:val="070878B1"/>
    <w:rsid w:val="21ED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2"/>
    <w:basedOn w:val="1"/>
    <w:next w:val="1"/>
    <w:link w:val="31"/>
    <w:qFormat/>
    <w:uiPriority w:val="0"/>
    <w:pPr>
      <w:keepNext/>
      <w:spacing w:after="0" w:line="240" w:lineRule="auto"/>
      <w:jc w:val="both"/>
      <w:outlineLvl w:val="1"/>
    </w:pPr>
    <w:rPr>
      <w:rFonts w:ascii="Times New Roman" w:hAnsi="Times New Roman"/>
      <w:sz w:val="24"/>
      <w:szCs w:val="24"/>
      <w:u w:val="single"/>
      <w:lang w:eastAsia="ru-RU"/>
    </w:rPr>
  </w:style>
  <w:style w:type="paragraph" w:styleId="4">
    <w:name w:val="heading 3"/>
    <w:basedOn w:val="1"/>
    <w:next w:val="1"/>
    <w:link w:val="32"/>
    <w:qFormat/>
    <w:uiPriority w:val="0"/>
    <w:pPr>
      <w:keepNext/>
      <w:spacing w:after="0" w:line="240" w:lineRule="auto"/>
      <w:ind w:left="360"/>
      <w:outlineLvl w:val="2"/>
    </w:pPr>
    <w:rPr>
      <w:rFonts w:ascii="Times New Roman" w:hAnsi="Times New Roman"/>
      <w:sz w:val="28"/>
      <w:szCs w:val="24"/>
      <w:lang w:eastAsia="ru-RU"/>
    </w:rPr>
  </w:style>
  <w:style w:type="paragraph" w:styleId="5">
    <w:name w:val="heading 4"/>
    <w:basedOn w:val="1"/>
    <w:next w:val="1"/>
    <w:link w:val="30"/>
    <w:qFormat/>
    <w:uiPriority w:val="0"/>
    <w:pPr>
      <w:keepNext/>
      <w:spacing w:after="0" w:line="240" w:lineRule="auto"/>
      <w:outlineLvl w:val="3"/>
    </w:pPr>
    <w:rPr>
      <w:rFonts w:ascii="Times New Roman" w:hAnsi="Times New Roman"/>
      <w:sz w:val="28"/>
      <w:szCs w:val="24"/>
      <w:lang w:val="en-US" w:eastAsia="ru-RU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styleId="9">
    <w:name w:val="page number"/>
    <w:basedOn w:val="6"/>
    <w:uiPriority w:val="0"/>
  </w:style>
  <w:style w:type="character" w:styleId="10">
    <w:name w:val="line number"/>
    <w:basedOn w:val="6"/>
    <w:qFormat/>
    <w:uiPriority w:val="0"/>
  </w:style>
  <w:style w:type="character" w:styleId="11">
    <w:name w:val="Strong"/>
    <w:basedOn w:val="6"/>
    <w:qFormat/>
    <w:uiPriority w:val="22"/>
    <w:rPr>
      <w:b/>
      <w:bCs/>
    </w:rPr>
  </w:style>
  <w:style w:type="paragraph" w:styleId="12">
    <w:name w:val="Balloon Text"/>
    <w:basedOn w:val="1"/>
    <w:link w:val="5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3">
    <w:name w:val="Body Text 2"/>
    <w:basedOn w:val="1"/>
    <w:link w:val="37"/>
    <w:qFormat/>
    <w:uiPriority w:val="0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14">
    <w:name w:val="Body Text Indent 3"/>
    <w:basedOn w:val="1"/>
    <w:link w:val="35"/>
    <w:qFormat/>
    <w:uiPriority w:val="0"/>
    <w:pPr>
      <w:spacing w:after="0" w:line="240" w:lineRule="auto"/>
      <w:ind w:left="252"/>
    </w:pPr>
    <w:rPr>
      <w:rFonts w:ascii="Times New Roman" w:hAnsi="Times New Roman"/>
      <w:sz w:val="20"/>
      <w:szCs w:val="24"/>
      <w:lang w:eastAsia="ru-RU"/>
    </w:rPr>
  </w:style>
  <w:style w:type="paragraph" w:styleId="15">
    <w:name w:val="header"/>
    <w:basedOn w:val="1"/>
    <w:link w:val="41"/>
    <w:uiPriority w:val="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6">
    <w:name w:val="Body Text"/>
    <w:basedOn w:val="1"/>
    <w:link w:val="36"/>
    <w:uiPriority w:val="0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paragraph" w:styleId="17">
    <w:name w:val="Body Text Indent"/>
    <w:basedOn w:val="1"/>
    <w:link w:val="33"/>
    <w:qFormat/>
    <w:uiPriority w:val="0"/>
    <w:pPr>
      <w:spacing w:after="0" w:line="240" w:lineRule="auto"/>
      <w:ind w:left="74"/>
    </w:pPr>
    <w:rPr>
      <w:rFonts w:ascii="Times New Roman" w:hAnsi="Times New Roman"/>
      <w:sz w:val="24"/>
      <w:szCs w:val="24"/>
      <w:lang w:eastAsia="ru-RU"/>
    </w:rPr>
  </w:style>
  <w:style w:type="paragraph" w:styleId="18">
    <w:name w:val="Title"/>
    <w:basedOn w:val="1"/>
    <w:link w:val="39"/>
    <w:qFormat/>
    <w:uiPriority w:val="0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styleId="19">
    <w:name w:val="footer"/>
    <w:basedOn w:val="1"/>
    <w:link w:val="40"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0">
    <w:name w:val="Normal (Web)"/>
    <w:basedOn w:val="1"/>
    <w:uiPriority w:val="0"/>
    <w:pPr>
      <w:spacing w:before="27" w:after="27" w:line="240" w:lineRule="auto"/>
    </w:pPr>
    <w:rPr>
      <w:rFonts w:ascii="Times New Roman" w:hAnsi="Times New Roman" w:eastAsia="Calibri"/>
      <w:sz w:val="20"/>
      <w:szCs w:val="20"/>
      <w:lang w:eastAsia="ru-RU"/>
    </w:rPr>
  </w:style>
  <w:style w:type="paragraph" w:styleId="21">
    <w:name w:val="Body Text 3"/>
    <w:basedOn w:val="1"/>
    <w:link w:val="38"/>
    <w:uiPriority w:val="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22">
    <w:name w:val="Body Text Indent 2"/>
    <w:basedOn w:val="1"/>
    <w:link w:val="34"/>
    <w:uiPriority w:val="0"/>
    <w:pPr>
      <w:spacing w:after="0" w:line="240" w:lineRule="auto"/>
      <w:ind w:left="72"/>
    </w:pPr>
    <w:rPr>
      <w:rFonts w:ascii="Times New Roman" w:hAnsi="Times New Roman"/>
      <w:sz w:val="24"/>
      <w:szCs w:val="24"/>
      <w:lang w:eastAsia="ru-RU"/>
    </w:rPr>
  </w:style>
  <w:style w:type="table" w:styleId="23">
    <w:name w:val="Table Grid"/>
    <w:basedOn w:val="7"/>
    <w:uiPriority w:val="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Без интервала1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paragraph" w:styleId="25">
    <w:name w:val="No Spacing"/>
    <w:link w:val="26"/>
    <w:qFormat/>
    <w:uiPriority w:val="1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customStyle="1" w:styleId="26">
    <w:name w:val="Без интервала Знак"/>
    <w:link w:val="25"/>
    <w:qFormat/>
    <w:locked/>
    <w:uiPriority w:val="1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27">
    <w:name w:val="List Paragraph"/>
    <w:basedOn w:val="1"/>
    <w:qFormat/>
    <w:uiPriority w:val="34"/>
    <w:pPr>
      <w:ind w:left="720"/>
      <w:contextualSpacing/>
    </w:pPr>
    <w:rPr>
      <w:lang w:eastAsia="ru-RU"/>
    </w:rPr>
  </w:style>
  <w:style w:type="paragraph" w:customStyle="1" w:styleId="28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29">
    <w:name w:val="Заголовок 1 Знак"/>
    <w:basedOn w:val="6"/>
    <w:link w:val="2"/>
    <w:uiPriority w:val="0"/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4 Знак"/>
    <w:basedOn w:val="6"/>
    <w:link w:val="5"/>
    <w:uiPriority w:val="0"/>
    <w:rPr>
      <w:rFonts w:ascii="Times New Roman" w:hAnsi="Times New Roman" w:eastAsia="Times New Roman" w:cs="Times New Roman"/>
      <w:sz w:val="28"/>
      <w:szCs w:val="24"/>
      <w:lang w:val="en-US" w:eastAsia="ru-RU"/>
    </w:rPr>
  </w:style>
  <w:style w:type="character" w:customStyle="1" w:styleId="31">
    <w:name w:val="Заголовок 2 Знак"/>
    <w:basedOn w:val="6"/>
    <w:link w:val="3"/>
    <w:uiPriority w:val="0"/>
    <w:rPr>
      <w:rFonts w:ascii="Times New Roman" w:hAnsi="Times New Roman" w:eastAsia="Times New Roman" w:cs="Times New Roman"/>
      <w:sz w:val="24"/>
      <w:szCs w:val="24"/>
      <w:u w:val="single"/>
      <w:lang w:eastAsia="ru-RU"/>
    </w:rPr>
  </w:style>
  <w:style w:type="character" w:customStyle="1" w:styleId="32">
    <w:name w:val="Заголовок 3 Знак"/>
    <w:basedOn w:val="6"/>
    <w:link w:val="4"/>
    <w:qFormat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33">
    <w:name w:val="Основной текст с отступом Знак"/>
    <w:basedOn w:val="6"/>
    <w:link w:val="17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4">
    <w:name w:val="Основной текст с отступом 2 Знак"/>
    <w:basedOn w:val="6"/>
    <w:link w:val="22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5">
    <w:name w:val="Основной текст с отступом 3 Знак"/>
    <w:basedOn w:val="6"/>
    <w:link w:val="14"/>
    <w:uiPriority w:val="0"/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36">
    <w:name w:val="Основной текст Знак"/>
    <w:basedOn w:val="6"/>
    <w:link w:val="16"/>
    <w:qFormat/>
    <w:uiPriority w:val="0"/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37">
    <w:name w:val="Основной текст 2 Знак"/>
    <w:basedOn w:val="6"/>
    <w:link w:val="13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8">
    <w:name w:val="Основной текст 3 Знак"/>
    <w:basedOn w:val="6"/>
    <w:link w:val="21"/>
    <w:uiPriority w:val="0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39">
    <w:name w:val="Название Знак"/>
    <w:basedOn w:val="6"/>
    <w:link w:val="18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0">
    <w:name w:val="Нижний колонтитул Знак"/>
    <w:basedOn w:val="6"/>
    <w:link w:val="19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1">
    <w:name w:val="Верхний колонтитул Знак"/>
    <w:basedOn w:val="6"/>
    <w:link w:val="15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2">
    <w:name w:val="c0"/>
    <w:basedOn w:val="6"/>
    <w:uiPriority w:val="0"/>
  </w:style>
  <w:style w:type="paragraph" w:customStyle="1" w:styleId="43">
    <w:name w:val="h1"/>
    <w:basedOn w:val="1"/>
    <w:uiPriority w:val="0"/>
    <w:pPr>
      <w:spacing w:after="430" w:line="240" w:lineRule="auto"/>
      <w:ind w:right="2448"/>
    </w:pPr>
    <w:rPr>
      <w:rFonts w:ascii="Arial" w:hAnsi="Arial" w:cs="Arial"/>
      <w:b/>
      <w:bCs/>
      <w:color w:val="000000"/>
      <w:sz w:val="39"/>
      <w:szCs w:val="39"/>
      <w:lang w:eastAsia="ru-RU"/>
    </w:rPr>
  </w:style>
  <w:style w:type="character" w:customStyle="1" w:styleId="44">
    <w:name w:val="apple-style-span"/>
    <w:basedOn w:val="6"/>
    <w:uiPriority w:val="0"/>
  </w:style>
  <w:style w:type="character" w:customStyle="1" w:styleId="45">
    <w:name w:val="apple-converted-space"/>
    <w:basedOn w:val="6"/>
    <w:qFormat/>
    <w:uiPriority w:val="0"/>
  </w:style>
  <w:style w:type="character" w:customStyle="1" w:styleId="46">
    <w:name w:val="c3"/>
    <w:basedOn w:val="6"/>
    <w:uiPriority w:val="0"/>
  </w:style>
  <w:style w:type="character" w:customStyle="1" w:styleId="47">
    <w:name w:val="Основной текст + Полужирный"/>
    <w:basedOn w:val="36"/>
    <w:uiPriority w:val="0"/>
    <w:rPr>
      <w:rFonts w:ascii="Times New Roman" w:hAnsi="Times New Roman" w:eastAsia="Times New Roman" w:cs="Times New Roman"/>
      <w:b/>
      <w:bCs/>
      <w:sz w:val="20"/>
      <w:szCs w:val="24"/>
      <w:lang w:val="ru-RU" w:eastAsia="ru-RU" w:bidi="ar-SA"/>
    </w:rPr>
  </w:style>
  <w:style w:type="character" w:customStyle="1" w:styleId="48">
    <w:name w:val="Основной текст + Gungsuh"/>
    <w:basedOn w:val="36"/>
    <w:qFormat/>
    <w:uiPriority w:val="0"/>
    <w:rPr>
      <w:rFonts w:ascii="Gungsuh" w:hAnsi="Times New Roman" w:eastAsia="Gungsuh" w:cs="Gungsuh"/>
      <w:sz w:val="8"/>
      <w:szCs w:val="8"/>
      <w:lang w:val="ru-RU" w:eastAsia="ru-RU" w:bidi="ar-SA"/>
    </w:rPr>
  </w:style>
  <w:style w:type="character" w:customStyle="1" w:styleId="49">
    <w:name w:val="Основной текст + Gungsuh1"/>
    <w:basedOn w:val="36"/>
    <w:uiPriority w:val="0"/>
    <w:rPr>
      <w:rFonts w:ascii="Gungsuh" w:hAnsi="Times New Roman" w:eastAsia="Gungsuh" w:cs="Gungsuh"/>
      <w:i/>
      <w:iCs/>
      <w:sz w:val="8"/>
      <w:szCs w:val="8"/>
      <w:lang w:val="ru-RU" w:eastAsia="ru-RU" w:bidi="ar-SA"/>
    </w:rPr>
  </w:style>
  <w:style w:type="character" w:customStyle="1" w:styleId="50">
    <w:name w:val="Основной текст + 10"/>
    <w:basedOn w:val="36"/>
    <w:qFormat/>
    <w:uiPriority w:val="0"/>
    <w:rPr>
      <w:rFonts w:ascii="Times New Roman" w:hAnsi="Times New Roman" w:eastAsia="Times New Roman" w:cs="Times New Roman"/>
      <w:b/>
      <w:bCs/>
      <w:sz w:val="21"/>
      <w:szCs w:val="21"/>
      <w:lang w:val="en-US" w:eastAsia="en-US" w:bidi="ar-SA"/>
    </w:rPr>
  </w:style>
  <w:style w:type="character" w:customStyle="1" w:styleId="51">
    <w:name w:val="Основной текст + 20"/>
    <w:basedOn w:val="36"/>
    <w:qFormat/>
    <w:uiPriority w:val="0"/>
    <w:rPr>
      <w:rFonts w:ascii="Times New Roman" w:hAnsi="Times New Roman" w:eastAsia="Times New Roman" w:cs="Times New Roman"/>
      <w:i/>
      <w:iCs/>
      <w:spacing w:val="110"/>
      <w:sz w:val="41"/>
      <w:szCs w:val="41"/>
      <w:lang w:val="ru-RU" w:eastAsia="ru-RU" w:bidi="ar-SA"/>
    </w:rPr>
  </w:style>
  <w:style w:type="character" w:customStyle="1" w:styleId="52">
    <w:name w:val="Font Style24"/>
    <w:basedOn w:val="6"/>
    <w:uiPriority w:val="0"/>
    <w:rPr>
      <w:rFonts w:ascii="Times New Roman" w:hAnsi="Times New Roman" w:cs="Times New Roman"/>
      <w:b/>
      <w:bCs/>
      <w:sz w:val="24"/>
      <w:szCs w:val="24"/>
    </w:rPr>
  </w:style>
  <w:style w:type="character" w:customStyle="1" w:styleId="53">
    <w:name w:val="Основной текст + Book Antiqua5"/>
    <w:basedOn w:val="36"/>
    <w:uiPriority w:val="0"/>
    <w:rPr>
      <w:rFonts w:ascii="Book Antiqua" w:hAnsi="Book Antiqua" w:eastAsia="Times New Roman" w:cs="Book Antiqua"/>
      <w:sz w:val="20"/>
      <w:szCs w:val="20"/>
      <w:u w:val="none"/>
      <w:lang w:val="ru-RU" w:eastAsia="ru-RU" w:bidi="ar-SA"/>
    </w:rPr>
  </w:style>
  <w:style w:type="character" w:customStyle="1" w:styleId="54">
    <w:name w:val="Основной текст + Impact"/>
    <w:basedOn w:val="36"/>
    <w:uiPriority w:val="0"/>
    <w:rPr>
      <w:rFonts w:ascii="Impact" w:hAnsi="Impact" w:eastAsia="Times New Roman" w:cs="Impact"/>
      <w:sz w:val="27"/>
      <w:szCs w:val="27"/>
      <w:u w:val="none"/>
      <w:lang w:val="ru-RU" w:eastAsia="ru-RU" w:bidi="ar-SA"/>
    </w:rPr>
  </w:style>
  <w:style w:type="character" w:customStyle="1" w:styleId="55">
    <w:name w:val="Основной текст + Candara"/>
    <w:basedOn w:val="36"/>
    <w:uiPriority w:val="0"/>
    <w:rPr>
      <w:rFonts w:ascii="Candara" w:hAnsi="Candara" w:eastAsia="Times New Roman" w:cs="Candara"/>
      <w:sz w:val="22"/>
      <w:szCs w:val="22"/>
      <w:u w:val="none"/>
      <w:lang w:val="ru-RU" w:eastAsia="ru-RU" w:bidi="ar-SA"/>
    </w:rPr>
  </w:style>
  <w:style w:type="character" w:customStyle="1" w:styleId="56">
    <w:name w:val="Основной текст + Century Gothic"/>
    <w:basedOn w:val="36"/>
    <w:uiPriority w:val="0"/>
    <w:rPr>
      <w:rFonts w:ascii="Century Gothic" w:hAnsi="Century Gothic" w:eastAsia="Times New Roman" w:cs="Century Gothic"/>
      <w:sz w:val="32"/>
      <w:szCs w:val="32"/>
      <w:u w:val="none"/>
      <w:lang w:val="en-US" w:eastAsia="en-US" w:bidi="ar-SA"/>
    </w:rPr>
  </w:style>
  <w:style w:type="paragraph" w:customStyle="1" w:styleId="57">
    <w:name w:val="c5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58">
    <w:name w:val="Standard"/>
    <w:uiPriority w:val="0"/>
    <w:pPr>
      <w:suppressAutoHyphens/>
      <w:autoSpaceDN w:val="0"/>
      <w:spacing w:after="200" w:line="276" w:lineRule="auto"/>
      <w:textAlignment w:val="baseline"/>
    </w:pPr>
    <w:rPr>
      <w:rFonts w:ascii="Calibri" w:hAnsi="Calibri" w:eastAsia="SimSun" w:cs="Calibri"/>
      <w:kern w:val="3"/>
      <w:sz w:val="22"/>
      <w:szCs w:val="22"/>
      <w:lang w:val="ru-RU" w:eastAsia="en-US" w:bidi="ar-SA"/>
    </w:rPr>
  </w:style>
  <w:style w:type="character" w:customStyle="1" w:styleId="59">
    <w:name w:val="Текст выноски Знак"/>
    <w:basedOn w:val="6"/>
    <w:link w:val="12"/>
    <w:semiHidden/>
    <w:uiPriority w:val="99"/>
    <w:rPr>
      <w:rFonts w:ascii="Tahoma" w:hAnsi="Tahoma" w:eastAsia="Times New Roman" w:cs="Tahoma"/>
      <w:sz w:val="16"/>
      <w:szCs w:val="16"/>
    </w:rPr>
  </w:style>
  <w:style w:type="table" w:customStyle="1" w:styleId="60">
    <w:name w:val="Сетка таблицы1"/>
    <w:basedOn w:val="7"/>
    <w:qFormat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2"/>
    <w:basedOn w:val="7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2">
    <w:name w:val="Абзац списка1"/>
    <w:basedOn w:val="1"/>
    <w:uiPriority w:val="0"/>
    <w:pPr>
      <w:spacing w:before="100" w:beforeAutospacing="1" w:after="100" w:afterAutospacing="1" w:line="240" w:lineRule="auto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63">
    <w:name w:val="Table Paragraph"/>
    <w:basedOn w:val="1"/>
    <w:qFormat/>
    <w:uiPriority w:val="0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64">
    <w:name w:val="Table Normal"/>
    <w:basedOn w:val="7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1E297-8CCD-4BC6-8819-8541D61499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6000</Words>
  <Characters>34204</Characters>
  <Lines>285</Lines>
  <Paragraphs>80</Paragraphs>
  <TotalTime>9</TotalTime>
  <ScaleCrop>false</ScaleCrop>
  <LinksUpToDate>false</LinksUpToDate>
  <CharactersWithSpaces>40124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2024-04-11T06:48:00Z</dcterms:created>
  <dc:creator>Admin</dc:creator>
  <cp:lastModifiedBy>Дет.сад2</cp:lastModifiedBy>
  <cp:lastPrinted>2023-04-13T11:02:00Z</cp:lastPrinted>
  <dcterms:modified xsi:type="dcterms:W3CDTF">2024-04-22T08:13:11Z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06B916E0F364432AB63968D3AA7E1986_13</vt:lpwstr>
  </property>
</Properties>
</file>